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34" w:type="dxa"/>
        <w:tblInd w:w="-72" w:type="dxa"/>
        <w:tblLook w:val="01E0"/>
      </w:tblPr>
      <w:tblGrid>
        <w:gridCol w:w="3441"/>
        <w:gridCol w:w="5793"/>
      </w:tblGrid>
      <w:tr w:rsidR="00FF07BD" w:rsidRPr="006F315D" w:rsidTr="005162FC">
        <w:tc>
          <w:tcPr>
            <w:tcW w:w="3441" w:type="dxa"/>
          </w:tcPr>
          <w:p w:rsidR="00FF07BD" w:rsidRPr="006F315D" w:rsidRDefault="008C2C60" w:rsidP="00FC71A5">
            <w:pPr>
              <w:widowControl w:val="0"/>
              <w:tabs>
                <w:tab w:val="center" w:pos="7440"/>
              </w:tabs>
              <w:rPr>
                <w:b/>
                <w:bCs/>
              </w:rPr>
            </w:pPr>
            <w:r>
              <w:rPr>
                <w:b/>
                <w:bCs/>
              </w:rPr>
              <w:t>CH</w:t>
            </w:r>
            <w:r w:rsidRPr="008C2C60">
              <w:rPr>
                <w:b/>
                <w:bCs/>
              </w:rPr>
              <w:t>Í</w:t>
            </w:r>
            <w:r>
              <w:rPr>
                <w:b/>
                <w:bCs/>
              </w:rPr>
              <w:t>NH PH</w:t>
            </w:r>
            <w:r w:rsidRPr="008C2C60">
              <w:rPr>
                <w:b/>
                <w:bCs/>
              </w:rPr>
              <w:t>Ủ</w:t>
            </w:r>
          </w:p>
          <w:p w:rsidR="00FF07BD" w:rsidRPr="006F315D" w:rsidRDefault="004D688D" w:rsidP="004113F0">
            <w:pPr>
              <w:widowControl w:val="0"/>
              <w:tabs>
                <w:tab w:val="center" w:pos="7440"/>
              </w:tabs>
              <w:jc w:val="center"/>
              <w:rPr>
                <w:bCs/>
                <w:sz w:val="26"/>
                <w:szCs w:val="26"/>
              </w:rPr>
            </w:pPr>
            <w:r w:rsidRPr="004D688D">
              <w:rPr>
                <w:b/>
                <w:bCs/>
                <w:noProof/>
                <w:sz w:val="26"/>
                <w:szCs w:val="26"/>
              </w:rPr>
              <w:pict>
                <v:line id="_x0000_s1026" style="position:absolute;left:0;text-align:left;z-index:251660288" from="11.4pt,4.75pt" to="56.4pt,4.75pt"/>
              </w:pict>
            </w:r>
          </w:p>
        </w:tc>
        <w:tc>
          <w:tcPr>
            <w:tcW w:w="5793" w:type="dxa"/>
          </w:tcPr>
          <w:p w:rsidR="00FF07BD" w:rsidRPr="006F315D" w:rsidRDefault="00FF07BD" w:rsidP="004113F0">
            <w:pPr>
              <w:widowControl w:val="0"/>
              <w:tabs>
                <w:tab w:val="center" w:pos="7440"/>
              </w:tabs>
              <w:jc w:val="center"/>
              <w:rPr>
                <w:b/>
                <w:bCs/>
              </w:rPr>
            </w:pPr>
            <w:r w:rsidRPr="006F315D">
              <w:rPr>
                <w:b/>
                <w:bCs/>
              </w:rPr>
              <w:t>CỘNG HOÀ XÃ HỘI CHỦ NGHĨA VIỆT NAM</w:t>
            </w:r>
          </w:p>
          <w:p w:rsidR="00FF07BD" w:rsidRPr="006F315D" w:rsidRDefault="00FF07BD" w:rsidP="004113F0">
            <w:pPr>
              <w:widowControl w:val="0"/>
              <w:tabs>
                <w:tab w:val="center" w:pos="7440"/>
              </w:tabs>
              <w:jc w:val="center"/>
              <w:rPr>
                <w:b/>
                <w:bCs/>
                <w:sz w:val="28"/>
                <w:szCs w:val="28"/>
              </w:rPr>
            </w:pPr>
            <w:r w:rsidRPr="006F315D">
              <w:rPr>
                <w:b/>
                <w:bCs/>
                <w:sz w:val="28"/>
                <w:szCs w:val="28"/>
              </w:rPr>
              <w:t>Độc lập - Tự do - hạnh phúc</w:t>
            </w:r>
          </w:p>
          <w:p w:rsidR="00FF07BD" w:rsidRPr="006F315D" w:rsidRDefault="004D688D" w:rsidP="004113F0">
            <w:pPr>
              <w:widowControl w:val="0"/>
              <w:tabs>
                <w:tab w:val="center" w:pos="7440"/>
              </w:tabs>
              <w:jc w:val="center"/>
              <w:rPr>
                <w:b/>
                <w:bCs/>
              </w:rPr>
            </w:pPr>
            <w:r w:rsidRPr="004D688D">
              <w:rPr>
                <w:b/>
                <w:bCs/>
                <w:noProof/>
              </w:rPr>
              <w:pict>
                <v:line id="_x0000_s1027" style="position:absolute;left:0;text-align:left;z-index:251661312" from="62.4pt,4.9pt" to="214.35pt,4.9pt"/>
              </w:pict>
            </w:r>
          </w:p>
        </w:tc>
      </w:tr>
    </w:tbl>
    <w:p w:rsidR="00457896" w:rsidRPr="006F315D" w:rsidRDefault="00457896" w:rsidP="00457896">
      <w:pPr>
        <w:widowControl w:val="0"/>
        <w:spacing w:line="400" w:lineRule="exact"/>
        <w:rPr>
          <w:b/>
          <w:sz w:val="2"/>
          <w:szCs w:val="28"/>
        </w:rPr>
      </w:pPr>
    </w:p>
    <w:p w:rsidR="00A44DBE" w:rsidRPr="006F315D" w:rsidRDefault="00A44DBE" w:rsidP="00BA6372">
      <w:pPr>
        <w:widowControl w:val="0"/>
        <w:spacing w:before="80" w:after="80" w:line="288" w:lineRule="auto"/>
        <w:jc w:val="center"/>
        <w:rPr>
          <w:b/>
          <w:sz w:val="28"/>
          <w:szCs w:val="28"/>
        </w:rPr>
      </w:pPr>
    </w:p>
    <w:p w:rsidR="00EE65ED" w:rsidRPr="006F315D" w:rsidRDefault="00EE65ED" w:rsidP="00BA6372">
      <w:pPr>
        <w:widowControl w:val="0"/>
        <w:spacing w:before="80" w:after="80" w:line="288" w:lineRule="auto"/>
        <w:jc w:val="center"/>
        <w:rPr>
          <w:b/>
          <w:sz w:val="28"/>
          <w:szCs w:val="28"/>
        </w:rPr>
      </w:pPr>
    </w:p>
    <w:p w:rsidR="008C08BE" w:rsidRPr="006F315D" w:rsidRDefault="008C08BE" w:rsidP="00BA6372">
      <w:pPr>
        <w:spacing w:before="80" w:after="80" w:line="288" w:lineRule="auto"/>
        <w:jc w:val="center"/>
        <w:rPr>
          <w:b/>
          <w:bCs/>
          <w:sz w:val="28"/>
          <w:szCs w:val="28"/>
          <w:lang w:val="nl-NL"/>
        </w:rPr>
      </w:pPr>
      <w:r w:rsidRPr="006F315D">
        <w:rPr>
          <w:b/>
          <w:bCs/>
          <w:sz w:val="28"/>
          <w:szCs w:val="28"/>
          <w:lang w:val="nl-NL"/>
        </w:rPr>
        <w:t>BÁO CÁO TỔNG KẾT, ĐÁNH GIÁ TÌNH HÌNH THỰC HIỆN</w:t>
      </w:r>
    </w:p>
    <w:p w:rsidR="00FF07BD" w:rsidRPr="006F315D" w:rsidRDefault="00792171" w:rsidP="00BA6372">
      <w:pPr>
        <w:widowControl w:val="0"/>
        <w:spacing w:before="80" w:after="80" w:line="288" w:lineRule="auto"/>
        <w:jc w:val="center"/>
        <w:rPr>
          <w:b/>
          <w:sz w:val="28"/>
          <w:szCs w:val="28"/>
          <w:lang w:val="nl-NL"/>
        </w:rPr>
      </w:pPr>
      <w:r w:rsidRPr="006F315D">
        <w:rPr>
          <w:b/>
          <w:sz w:val="28"/>
          <w:szCs w:val="28"/>
          <w:lang w:val="nl-NL"/>
        </w:rPr>
        <w:t xml:space="preserve">Nghị quyết </w:t>
      </w:r>
      <w:r w:rsidR="00A44DBE" w:rsidRPr="006F315D">
        <w:rPr>
          <w:b/>
          <w:sz w:val="28"/>
          <w:szCs w:val="28"/>
          <w:lang w:val="nl-NL"/>
        </w:rPr>
        <w:t xml:space="preserve">của Ủy ban thường vụ Quốc hội                                                                  </w:t>
      </w:r>
      <w:r w:rsidR="00792D66" w:rsidRPr="006F315D">
        <w:rPr>
          <w:b/>
          <w:sz w:val="28"/>
          <w:szCs w:val="28"/>
          <w:lang w:val="nl-NL"/>
        </w:rPr>
        <w:t>về B</w:t>
      </w:r>
      <w:r w:rsidRPr="006F315D">
        <w:rPr>
          <w:b/>
          <w:sz w:val="28"/>
          <w:szCs w:val="28"/>
          <w:lang w:val="nl-NL"/>
        </w:rPr>
        <w:t>iểu</w:t>
      </w:r>
      <w:r w:rsidR="00FF07BD" w:rsidRPr="006F315D">
        <w:rPr>
          <w:b/>
          <w:sz w:val="28"/>
          <w:szCs w:val="28"/>
          <w:lang w:val="nl-NL"/>
        </w:rPr>
        <w:t xml:space="preserve"> thuế bảo vệ môi trường</w:t>
      </w:r>
    </w:p>
    <w:p w:rsidR="00FF07BD" w:rsidRPr="006F315D" w:rsidRDefault="004D688D" w:rsidP="00BA6372">
      <w:pPr>
        <w:widowControl w:val="0"/>
        <w:spacing w:before="80" w:after="80" w:line="288" w:lineRule="auto"/>
        <w:ind w:firstLine="720"/>
        <w:jc w:val="center"/>
        <w:rPr>
          <w:sz w:val="28"/>
          <w:szCs w:val="28"/>
          <w:lang w:val="nl-NL"/>
        </w:rPr>
      </w:pPr>
      <w:r w:rsidRPr="004D688D">
        <w:rPr>
          <w:b/>
          <w:bCs/>
          <w:noProof/>
          <w:sz w:val="26"/>
          <w:szCs w:val="26"/>
          <w:lang w:val="fr-FR" w:eastAsia="fr-FR"/>
        </w:rPr>
        <w:pict>
          <v:line id="_x0000_s1028" style="position:absolute;left:0;text-align:left;z-index:251662336" from="181.75pt,9.4pt" to="279pt,9.4pt"/>
        </w:pict>
      </w:r>
    </w:p>
    <w:p w:rsidR="00FF07BD" w:rsidRPr="006F315D" w:rsidRDefault="00FF07BD" w:rsidP="0038492E">
      <w:pPr>
        <w:spacing w:before="120" w:after="120" w:line="252" w:lineRule="auto"/>
        <w:ind w:firstLine="720"/>
        <w:jc w:val="both"/>
        <w:rPr>
          <w:rFonts w:asciiTheme="majorHAnsi" w:hAnsiTheme="majorHAnsi" w:cstheme="majorHAnsi"/>
          <w:sz w:val="28"/>
          <w:szCs w:val="28"/>
          <w:lang w:val="pt-BR"/>
        </w:rPr>
      </w:pPr>
    </w:p>
    <w:p w:rsidR="00647AB0" w:rsidRPr="006F315D" w:rsidRDefault="00FF07BD" w:rsidP="00DF3E56">
      <w:pPr>
        <w:spacing w:before="60" w:after="60" w:line="264" w:lineRule="auto"/>
        <w:ind w:firstLine="720"/>
        <w:jc w:val="both"/>
        <w:rPr>
          <w:sz w:val="28"/>
          <w:szCs w:val="28"/>
          <w:lang w:val="pt-BR"/>
        </w:rPr>
      </w:pPr>
      <w:r w:rsidRPr="006F315D">
        <w:rPr>
          <w:sz w:val="28"/>
          <w:szCs w:val="28"/>
          <w:lang w:val="pt-BR"/>
        </w:rPr>
        <w:t xml:space="preserve">Ngày 15/11/2010, Quốc hội khóa XII tại kỳ họp thứ 8 đã thông qua Luật thuế bảo vệ môi trường (BVMT), có hiệu lực </w:t>
      </w:r>
      <w:r w:rsidR="00295130" w:rsidRPr="006F315D">
        <w:rPr>
          <w:sz w:val="28"/>
          <w:szCs w:val="28"/>
          <w:lang w:val="pt-BR"/>
        </w:rPr>
        <w:t xml:space="preserve">thi hành kể từ ngày 01/01/2012. </w:t>
      </w:r>
    </w:p>
    <w:p w:rsidR="00F35F8D" w:rsidRPr="006F315D" w:rsidRDefault="00FC71A5" w:rsidP="00DF3E56">
      <w:pPr>
        <w:spacing w:before="60" w:after="60" w:line="264" w:lineRule="auto"/>
        <w:ind w:firstLine="720"/>
        <w:jc w:val="both"/>
        <w:rPr>
          <w:sz w:val="28"/>
          <w:szCs w:val="28"/>
          <w:lang w:val="sv-SE"/>
        </w:rPr>
      </w:pPr>
      <w:r w:rsidRPr="006F315D">
        <w:rPr>
          <w:sz w:val="28"/>
          <w:szCs w:val="28"/>
          <w:lang w:val="pt-BR"/>
        </w:rPr>
        <w:t xml:space="preserve">Tại </w:t>
      </w:r>
      <w:r w:rsidR="00647AB0" w:rsidRPr="006F315D">
        <w:rPr>
          <w:sz w:val="28"/>
          <w:szCs w:val="28"/>
          <w:lang w:val="pt-BR"/>
        </w:rPr>
        <w:t xml:space="preserve">khoản 1 Điều 8 </w:t>
      </w:r>
      <w:r w:rsidR="008C08BE" w:rsidRPr="006F315D">
        <w:rPr>
          <w:sz w:val="28"/>
          <w:szCs w:val="28"/>
          <w:lang w:val="nl-NL"/>
        </w:rPr>
        <w:t xml:space="preserve">Luật thuế </w:t>
      </w:r>
      <w:r w:rsidR="000E1AC8" w:rsidRPr="006F315D">
        <w:rPr>
          <w:sz w:val="28"/>
          <w:szCs w:val="28"/>
          <w:lang w:val="nl-NL"/>
        </w:rPr>
        <w:t>BVMT</w:t>
      </w:r>
      <w:r w:rsidR="008C08BE" w:rsidRPr="006F315D">
        <w:rPr>
          <w:sz w:val="28"/>
          <w:szCs w:val="28"/>
          <w:lang w:val="nl-NL"/>
        </w:rPr>
        <w:t xml:space="preserve"> quy định </w:t>
      </w:r>
      <w:r w:rsidRPr="006F315D">
        <w:rPr>
          <w:sz w:val="28"/>
          <w:szCs w:val="28"/>
          <w:lang w:val="nl-NL"/>
        </w:rPr>
        <w:t xml:space="preserve">Biểu </w:t>
      </w:r>
      <w:r w:rsidR="008C08BE" w:rsidRPr="006F315D">
        <w:rPr>
          <w:sz w:val="28"/>
          <w:szCs w:val="28"/>
          <w:lang w:val="nl-NL"/>
        </w:rPr>
        <w:t xml:space="preserve">khung thuế đối với </w:t>
      </w:r>
      <w:r w:rsidR="000E1AC8" w:rsidRPr="006F315D">
        <w:rPr>
          <w:rFonts w:eastAsia="Arial"/>
          <w:sz w:val="28"/>
          <w:szCs w:val="28"/>
          <w:lang w:val="pl-PL"/>
        </w:rPr>
        <w:t xml:space="preserve">8 nhóm sản phẩm, hàng hóa thuộc đối tượng chịu thuế, gồm: </w:t>
      </w:r>
      <w:r w:rsidR="000E1AC8" w:rsidRPr="006F315D">
        <w:rPr>
          <w:sz w:val="28"/>
          <w:szCs w:val="28"/>
          <w:lang w:val="pl-PL"/>
        </w:rPr>
        <w:t xml:space="preserve">Xăng, dầu, mỡ nhờn; </w:t>
      </w:r>
      <w:r w:rsidR="000E1AC8" w:rsidRPr="006F315D">
        <w:rPr>
          <w:sz w:val="28"/>
          <w:szCs w:val="28"/>
          <w:lang w:val="sv-SE"/>
        </w:rPr>
        <w:t>Than đá; Dung dịch hydro-chloro-fluoro-carbon (HCFC); Túi ni</w:t>
      </w:r>
      <w:r w:rsidR="00383157">
        <w:rPr>
          <w:sz w:val="28"/>
          <w:szCs w:val="28"/>
          <w:lang w:val="sv-SE"/>
        </w:rPr>
        <w:t xml:space="preserve"> </w:t>
      </w:r>
      <w:r w:rsidR="000E1AC8" w:rsidRPr="006F315D">
        <w:rPr>
          <w:sz w:val="28"/>
          <w:szCs w:val="28"/>
          <w:lang w:val="sv-SE"/>
        </w:rPr>
        <w:t>lông thuộc diện chịu thuế; Thuốc diệt cỏ thuộc loại hạn chế sử dụng; Thuốc trừ mối thuộc loại hạn chế sử dụng; Thuốc bảo quản lâm sản thuộc loại hạn chế sử dụng; Thuốc khử trùng kho thuộc loại hạn chế sử dụng</w:t>
      </w:r>
      <w:r w:rsidR="00F35F8D" w:rsidRPr="006F315D">
        <w:rPr>
          <w:sz w:val="28"/>
          <w:szCs w:val="28"/>
          <w:lang w:val="sv-SE"/>
        </w:rPr>
        <w:t>.</w:t>
      </w:r>
    </w:p>
    <w:p w:rsidR="00F35F8D" w:rsidRPr="006F315D" w:rsidRDefault="00F35F8D" w:rsidP="00DF3E56">
      <w:pPr>
        <w:spacing w:before="60" w:after="60" w:line="264" w:lineRule="auto"/>
        <w:ind w:firstLine="720"/>
        <w:jc w:val="both"/>
        <w:rPr>
          <w:sz w:val="28"/>
          <w:szCs w:val="28"/>
          <w:lang w:val="sv-SE"/>
        </w:rPr>
      </w:pPr>
      <w:r w:rsidRPr="006F315D">
        <w:rPr>
          <w:sz w:val="28"/>
          <w:szCs w:val="28"/>
          <w:lang w:val="sv-SE"/>
        </w:rPr>
        <w:t xml:space="preserve">Đồng thời tại khoản 2 Điều 8 Luật thuế BVMT quy định: </w:t>
      </w:r>
    </w:p>
    <w:p w:rsidR="00F35F8D" w:rsidRPr="006F315D" w:rsidRDefault="00383157" w:rsidP="00DF3E56">
      <w:pPr>
        <w:spacing w:before="60" w:after="60" w:line="264" w:lineRule="auto"/>
        <w:ind w:firstLine="720"/>
        <w:jc w:val="both"/>
        <w:rPr>
          <w:i/>
          <w:sz w:val="28"/>
          <w:szCs w:val="28"/>
          <w:lang w:val="nl-NL"/>
        </w:rPr>
      </w:pPr>
      <w:r w:rsidRPr="00BD3ED7">
        <w:rPr>
          <w:rFonts w:asciiTheme="majorHAnsi" w:hAnsiTheme="majorHAnsi" w:cstheme="majorHAnsi"/>
          <w:i/>
          <w:lang w:val="nl-NL"/>
        </w:rPr>
        <w:t>“</w:t>
      </w:r>
      <w:r w:rsidR="00F35F8D" w:rsidRPr="006F315D">
        <w:rPr>
          <w:i/>
          <w:sz w:val="28"/>
          <w:szCs w:val="28"/>
          <w:lang w:val="nl-NL"/>
        </w:rPr>
        <w:t>2. Căn cứ vào Biểu khung thuế quy định tại khoản 1 Điều này, Uỷ ban thường vụ Quốc hội quy định mức thuế cụ thể đối với từng loại hàng hoá chịu thuế bảo đảm</w:t>
      </w:r>
      <w:r w:rsidR="00F35F8D" w:rsidRPr="006F315D">
        <w:rPr>
          <w:b/>
          <w:bCs/>
          <w:i/>
          <w:iCs/>
          <w:sz w:val="28"/>
          <w:szCs w:val="28"/>
          <w:lang w:val="nl-NL"/>
        </w:rPr>
        <w:t xml:space="preserve"> </w:t>
      </w:r>
      <w:r w:rsidR="00F35F8D" w:rsidRPr="006F315D">
        <w:rPr>
          <w:i/>
          <w:sz w:val="28"/>
          <w:szCs w:val="28"/>
          <w:lang w:val="nl-NL"/>
        </w:rPr>
        <w:t>các nguyên tắc sau:</w:t>
      </w:r>
    </w:p>
    <w:p w:rsidR="00F35F8D" w:rsidRPr="006F315D" w:rsidRDefault="00F35F8D" w:rsidP="00DF3E56">
      <w:pPr>
        <w:spacing w:before="60" w:after="60" w:line="264" w:lineRule="auto"/>
        <w:ind w:firstLine="720"/>
        <w:jc w:val="both"/>
        <w:rPr>
          <w:i/>
          <w:sz w:val="28"/>
          <w:szCs w:val="28"/>
          <w:lang w:val="nl-NL"/>
        </w:rPr>
      </w:pPr>
      <w:r w:rsidRPr="006F315D">
        <w:rPr>
          <w:i/>
          <w:sz w:val="28"/>
          <w:szCs w:val="28"/>
          <w:lang w:val="nl-NL"/>
        </w:rPr>
        <w:t>a)</w:t>
      </w:r>
      <w:r w:rsidRPr="006F315D">
        <w:rPr>
          <w:i/>
          <w:sz w:val="28"/>
          <w:szCs w:val="28"/>
          <w:lang w:val="vi-VN"/>
        </w:rPr>
        <w:t xml:space="preserve"> Mức thuế đối với hàng hoá chịu thuế phù hợp với chính sách phát triển kinh tế </w:t>
      </w:r>
      <w:r w:rsidRPr="006F315D">
        <w:rPr>
          <w:i/>
          <w:sz w:val="28"/>
          <w:szCs w:val="28"/>
          <w:lang w:val="nl-NL"/>
        </w:rPr>
        <w:t xml:space="preserve">- </w:t>
      </w:r>
      <w:r w:rsidRPr="006F315D">
        <w:rPr>
          <w:i/>
          <w:sz w:val="28"/>
          <w:szCs w:val="28"/>
          <w:lang w:val="vi-VN"/>
        </w:rPr>
        <w:t>xã hội của Nhà nước trong từng thời kỳ</w:t>
      </w:r>
      <w:r w:rsidRPr="006F315D">
        <w:rPr>
          <w:i/>
          <w:sz w:val="28"/>
          <w:szCs w:val="28"/>
          <w:lang w:val="nl-NL"/>
        </w:rPr>
        <w:t>;</w:t>
      </w:r>
    </w:p>
    <w:p w:rsidR="00F35F8D" w:rsidRPr="006F315D" w:rsidRDefault="00F35F8D" w:rsidP="00DF3E56">
      <w:pPr>
        <w:widowControl w:val="0"/>
        <w:spacing w:before="60" w:after="60" w:line="264" w:lineRule="auto"/>
        <w:ind w:firstLine="720"/>
        <w:jc w:val="both"/>
        <w:rPr>
          <w:rFonts w:ascii="Times" w:hAnsi="Times" w:cs="Times"/>
          <w:b/>
          <w:i/>
          <w:dstrike/>
          <w:spacing w:val="24"/>
          <w:sz w:val="28"/>
          <w:szCs w:val="28"/>
          <w:lang w:val="vi-VN"/>
        </w:rPr>
      </w:pPr>
      <w:r w:rsidRPr="006F315D">
        <w:rPr>
          <w:i/>
          <w:sz w:val="28"/>
          <w:szCs w:val="28"/>
          <w:lang w:val="vi-VN"/>
        </w:rPr>
        <w:t>b</w:t>
      </w:r>
      <w:r w:rsidRPr="006F315D">
        <w:rPr>
          <w:i/>
          <w:sz w:val="28"/>
          <w:szCs w:val="28"/>
          <w:lang w:val="nl-NL"/>
        </w:rPr>
        <w:t>)</w:t>
      </w:r>
      <w:r w:rsidRPr="006F315D">
        <w:rPr>
          <w:i/>
          <w:sz w:val="28"/>
          <w:szCs w:val="28"/>
          <w:lang w:val="vi-VN"/>
        </w:rPr>
        <w:t xml:space="preserve"> Mức thuế đối với hàng hoá chịu thuế được </w:t>
      </w:r>
      <w:r w:rsidRPr="006F315D">
        <w:rPr>
          <w:bCs/>
          <w:i/>
          <w:iCs/>
          <w:sz w:val="28"/>
          <w:szCs w:val="28"/>
          <w:lang w:val="vi-VN"/>
        </w:rPr>
        <w:t>xác định</w:t>
      </w:r>
      <w:r w:rsidRPr="006F315D">
        <w:rPr>
          <w:i/>
          <w:sz w:val="28"/>
          <w:szCs w:val="28"/>
          <w:lang w:val="vi-VN"/>
        </w:rPr>
        <w:t xml:space="preserve"> theo mức độ gây tác động xấu đến môi trường của hàng hoá</w:t>
      </w:r>
      <w:r w:rsidRPr="006F315D">
        <w:rPr>
          <w:i/>
          <w:sz w:val="28"/>
          <w:szCs w:val="28"/>
          <w:lang w:val="nl-NL"/>
        </w:rPr>
        <w:t>”</w:t>
      </w:r>
      <w:r w:rsidRPr="006F315D">
        <w:rPr>
          <w:i/>
          <w:sz w:val="28"/>
          <w:szCs w:val="28"/>
          <w:lang w:val="vi-VN"/>
        </w:rPr>
        <w:t>.</w:t>
      </w:r>
    </w:p>
    <w:p w:rsidR="00DF3E56" w:rsidRPr="006F315D" w:rsidRDefault="00DF3E56" w:rsidP="00DF3E56">
      <w:pPr>
        <w:spacing w:before="60" w:after="60" w:line="264" w:lineRule="auto"/>
        <w:ind w:firstLine="720"/>
        <w:jc w:val="both"/>
        <w:rPr>
          <w:rFonts w:asciiTheme="majorHAnsi" w:hAnsiTheme="majorHAnsi" w:cstheme="majorHAnsi"/>
          <w:sz w:val="28"/>
          <w:szCs w:val="28"/>
          <w:lang w:val="pt-BR"/>
        </w:rPr>
      </w:pPr>
      <w:r w:rsidRPr="006F315D">
        <w:rPr>
          <w:rFonts w:asciiTheme="majorHAnsi" w:hAnsiTheme="majorHAnsi" w:cstheme="majorHAnsi"/>
          <w:sz w:val="28"/>
          <w:szCs w:val="28"/>
          <w:lang w:val="pt-BR"/>
        </w:rPr>
        <w:t xml:space="preserve">Căn cứ nguyên tắc điều chỉnh mức thuế BVMT tại Luật </w:t>
      </w:r>
      <w:r w:rsidR="00383157">
        <w:rPr>
          <w:rFonts w:asciiTheme="majorHAnsi" w:hAnsiTheme="majorHAnsi" w:cstheme="majorHAnsi"/>
          <w:sz w:val="28"/>
          <w:szCs w:val="28"/>
          <w:lang w:val="pt-BR"/>
        </w:rPr>
        <w:t xml:space="preserve">thuế BVMT, ngày 14/7/2011, </w:t>
      </w:r>
      <w:r w:rsidR="00383157" w:rsidRPr="00383157">
        <w:rPr>
          <w:rFonts w:asciiTheme="majorHAnsi" w:hAnsiTheme="majorHAnsi" w:cstheme="majorHAnsi"/>
          <w:sz w:val="28"/>
          <w:szCs w:val="28"/>
          <w:lang w:val="pt-BR"/>
        </w:rPr>
        <w:t>Ủy</w:t>
      </w:r>
      <w:r w:rsidR="00383157">
        <w:rPr>
          <w:rFonts w:asciiTheme="majorHAnsi" w:hAnsiTheme="majorHAnsi" w:cstheme="majorHAnsi"/>
          <w:sz w:val="28"/>
          <w:szCs w:val="28"/>
          <w:lang w:val="pt-BR"/>
        </w:rPr>
        <w:t xml:space="preserve"> ban thư</w:t>
      </w:r>
      <w:r w:rsidR="00383157" w:rsidRPr="00383157">
        <w:rPr>
          <w:rFonts w:asciiTheme="majorHAnsi" w:hAnsiTheme="majorHAnsi" w:cstheme="majorHAnsi"/>
          <w:sz w:val="28"/>
          <w:szCs w:val="28"/>
          <w:lang w:val="pt-BR"/>
        </w:rPr>
        <w:t>ờng</w:t>
      </w:r>
      <w:r w:rsidR="00383157">
        <w:rPr>
          <w:rFonts w:asciiTheme="majorHAnsi" w:hAnsiTheme="majorHAnsi" w:cstheme="majorHAnsi"/>
          <w:sz w:val="28"/>
          <w:szCs w:val="28"/>
          <w:lang w:val="pt-BR"/>
        </w:rPr>
        <w:t xml:space="preserve"> v</w:t>
      </w:r>
      <w:r w:rsidR="00383157" w:rsidRPr="00383157">
        <w:rPr>
          <w:rFonts w:asciiTheme="majorHAnsi" w:hAnsiTheme="majorHAnsi" w:cstheme="majorHAnsi"/>
          <w:sz w:val="28"/>
          <w:szCs w:val="28"/>
          <w:lang w:val="pt-BR"/>
        </w:rPr>
        <w:t>ụ</w:t>
      </w:r>
      <w:r w:rsidR="00383157">
        <w:rPr>
          <w:rFonts w:asciiTheme="majorHAnsi" w:hAnsiTheme="majorHAnsi" w:cstheme="majorHAnsi"/>
          <w:sz w:val="28"/>
          <w:szCs w:val="28"/>
          <w:lang w:val="pt-BR"/>
        </w:rPr>
        <w:t xml:space="preserve"> Qu</w:t>
      </w:r>
      <w:r w:rsidR="00383157" w:rsidRPr="00383157">
        <w:rPr>
          <w:rFonts w:asciiTheme="majorHAnsi" w:hAnsiTheme="majorHAnsi" w:cstheme="majorHAnsi"/>
          <w:sz w:val="28"/>
          <w:szCs w:val="28"/>
          <w:lang w:val="pt-BR"/>
        </w:rPr>
        <w:t>ốc</w:t>
      </w:r>
      <w:r w:rsidR="00383157">
        <w:rPr>
          <w:rFonts w:asciiTheme="majorHAnsi" w:hAnsiTheme="majorHAnsi" w:cstheme="majorHAnsi"/>
          <w:sz w:val="28"/>
          <w:szCs w:val="28"/>
          <w:lang w:val="pt-BR"/>
        </w:rPr>
        <w:t xml:space="preserve"> h</w:t>
      </w:r>
      <w:r w:rsidR="00383157" w:rsidRPr="00383157">
        <w:rPr>
          <w:rFonts w:asciiTheme="majorHAnsi" w:hAnsiTheme="majorHAnsi" w:cstheme="majorHAnsi"/>
          <w:sz w:val="28"/>
          <w:szCs w:val="28"/>
          <w:lang w:val="pt-BR"/>
        </w:rPr>
        <w:t>ội</w:t>
      </w:r>
      <w:r w:rsidR="00383157">
        <w:rPr>
          <w:rFonts w:asciiTheme="majorHAnsi" w:hAnsiTheme="majorHAnsi" w:cstheme="majorHAnsi"/>
          <w:sz w:val="28"/>
          <w:szCs w:val="28"/>
          <w:lang w:val="pt-BR"/>
        </w:rPr>
        <w:t xml:space="preserve"> (UBTVQH) </w:t>
      </w:r>
      <w:r w:rsidRPr="006F315D">
        <w:rPr>
          <w:rFonts w:asciiTheme="majorHAnsi" w:hAnsiTheme="majorHAnsi" w:cstheme="majorHAnsi"/>
          <w:sz w:val="28"/>
          <w:szCs w:val="28"/>
          <w:lang w:val="pt-BR"/>
        </w:rPr>
        <w:t xml:space="preserve">ban hành Nghị </w:t>
      </w:r>
      <w:r w:rsidR="00383157">
        <w:rPr>
          <w:rFonts w:asciiTheme="majorHAnsi" w:hAnsiTheme="majorHAnsi" w:cstheme="majorHAnsi"/>
          <w:sz w:val="28"/>
          <w:szCs w:val="28"/>
          <w:lang w:val="pt-BR"/>
        </w:rPr>
        <w:t>quyết số 1269/2011/UBTVQH12 về B</w:t>
      </w:r>
      <w:r w:rsidRPr="006F315D">
        <w:rPr>
          <w:rFonts w:asciiTheme="majorHAnsi" w:hAnsiTheme="majorHAnsi" w:cstheme="majorHAnsi"/>
          <w:sz w:val="28"/>
          <w:szCs w:val="28"/>
          <w:lang w:val="pt-BR"/>
        </w:rPr>
        <w:t>iểu thuế BVMT (có hiệu lực thi hành từ ngày 01/01/2012), trong đó mức thuế cụ thể đối với các hàng hóa chịu thuế BVMT được quy định ở mức sàn trong khung thuế để tránh gây tác động lớn và đột ngột vào sản xuất kinh doanh; riêng dung dịch HCFC và túi ni lông thuộc diện chịu thuế là những hàng hóa khi sử dụng có tác động lớn đến môi trường được quy định gần bằng mức trần trong khung thuế.</w:t>
      </w:r>
    </w:p>
    <w:p w:rsidR="00DF3E56" w:rsidRPr="006F315D" w:rsidRDefault="00DF3E56" w:rsidP="00DF3E56">
      <w:pPr>
        <w:spacing w:before="60" w:after="60" w:line="264" w:lineRule="auto"/>
        <w:ind w:firstLine="720"/>
        <w:jc w:val="both"/>
        <w:rPr>
          <w:rFonts w:asciiTheme="majorHAnsi" w:hAnsiTheme="majorHAnsi" w:cstheme="majorHAnsi"/>
          <w:sz w:val="28"/>
          <w:szCs w:val="28"/>
          <w:lang w:val="pt-BR"/>
        </w:rPr>
      </w:pPr>
      <w:r w:rsidRPr="006F315D">
        <w:rPr>
          <w:rFonts w:asciiTheme="majorHAnsi" w:hAnsiTheme="majorHAnsi" w:cstheme="majorHAnsi"/>
          <w:sz w:val="28"/>
          <w:szCs w:val="28"/>
          <w:lang w:val="pt-BR"/>
        </w:rPr>
        <w:t xml:space="preserve">Ngày 10/3/2015, UBTVQH ban hành Nghị quyết số 888a/2015/UBTVQH13 sửa đổi, bổ sung Nghị quyết số 1269/2011/UBTVQH12 về </w:t>
      </w:r>
      <w:r w:rsidR="00383157">
        <w:rPr>
          <w:rFonts w:asciiTheme="majorHAnsi" w:hAnsiTheme="majorHAnsi" w:cstheme="majorHAnsi"/>
          <w:sz w:val="28"/>
          <w:szCs w:val="28"/>
          <w:lang w:val="pt-BR"/>
        </w:rPr>
        <w:t>B</w:t>
      </w:r>
      <w:r w:rsidRPr="006F315D">
        <w:rPr>
          <w:rFonts w:asciiTheme="majorHAnsi" w:hAnsiTheme="majorHAnsi" w:cstheme="majorHAnsi"/>
          <w:sz w:val="28"/>
          <w:szCs w:val="28"/>
          <w:lang w:val="pt-BR"/>
        </w:rPr>
        <w:t xml:space="preserve">iểu thuế BVMT (có hiệu lực thi hành từ ngày </w:t>
      </w:r>
      <w:r w:rsidRPr="006F315D">
        <w:rPr>
          <w:rFonts w:asciiTheme="majorHAnsi" w:hAnsiTheme="majorHAnsi" w:cstheme="majorHAnsi"/>
          <w:sz w:val="28"/>
          <w:szCs w:val="28"/>
          <w:lang w:val="pt-BR"/>
        </w:rPr>
        <w:lastRenderedPageBreak/>
        <w:t>01/5/2015), trong đó chỉ điều chỉnh một số mức thuế BVMT đối với mặt hàng xăng dầu (mức thuế BVMT đối với xăng, nhiên liệu bay là 3.000 đồng/lít; dầu diesel là 1.500 đồng/lít; dầu mazut, dầu nhờn là 900 đồng/lít; mỡ nhờn là 900 đồng/kg).</w:t>
      </w:r>
    </w:p>
    <w:p w:rsidR="00B734AA" w:rsidRPr="006F315D" w:rsidRDefault="00B734AA" w:rsidP="00DF3E56">
      <w:pPr>
        <w:spacing w:before="60" w:after="60" w:line="264" w:lineRule="auto"/>
        <w:ind w:firstLine="720"/>
        <w:jc w:val="both"/>
        <w:rPr>
          <w:rFonts w:asciiTheme="majorHAnsi" w:hAnsiTheme="majorHAnsi" w:cstheme="majorHAnsi"/>
          <w:sz w:val="28"/>
          <w:szCs w:val="28"/>
          <w:lang w:val="nl-NL"/>
        </w:rPr>
      </w:pPr>
      <w:r w:rsidRPr="006F315D">
        <w:rPr>
          <w:rFonts w:asciiTheme="majorHAnsi" w:hAnsiTheme="majorHAnsi" w:cstheme="majorHAnsi"/>
          <w:sz w:val="28"/>
          <w:szCs w:val="28"/>
          <w:lang w:val="pt-BR"/>
        </w:rPr>
        <w:t xml:space="preserve">Mức thuế BVMT hiện hành do UBTVQH quy định đối với từng hàng hóa thuộc đối tượng chịu thuế BVMT như sau: </w:t>
      </w:r>
      <w:r w:rsidRPr="006F315D">
        <w:rPr>
          <w:rFonts w:asciiTheme="majorHAnsi" w:hAnsiTheme="majorHAnsi" w:cstheme="majorHAnsi"/>
          <w:sz w:val="28"/>
          <w:szCs w:val="28"/>
          <w:lang w:val="nl-NL"/>
        </w:rPr>
        <w:t>Xăng, dầu, mỡ nhờn (xăng, trừ etanol: 3.000 đồng/lít, nhiên liệu bay: 3.000 đồng/lít, dầu diezel: 1.500 đồng/lít, dầu mazut, dầu nhờn: 900 đồng/lít, mỡ nhờn: 900 đồng/kg</w:t>
      </w:r>
      <w:r w:rsidR="00383157">
        <w:rPr>
          <w:rFonts w:asciiTheme="majorHAnsi" w:hAnsiTheme="majorHAnsi" w:cstheme="majorHAnsi"/>
          <w:sz w:val="28"/>
          <w:szCs w:val="28"/>
          <w:lang w:val="nl-NL"/>
        </w:rPr>
        <w:t>, d</w:t>
      </w:r>
      <w:r w:rsidR="00383157" w:rsidRPr="00383157">
        <w:rPr>
          <w:rFonts w:asciiTheme="majorHAnsi" w:hAnsiTheme="majorHAnsi" w:cstheme="majorHAnsi"/>
          <w:sz w:val="28"/>
          <w:szCs w:val="28"/>
          <w:lang w:val="nl-NL"/>
        </w:rPr>
        <w:t>ầ</w:t>
      </w:r>
      <w:r w:rsidR="00383157">
        <w:rPr>
          <w:rFonts w:asciiTheme="majorHAnsi" w:hAnsiTheme="majorHAnsi" w:cstheme="majorHAnsi"/>
          <w:sz w:val="28"/>
          <w:szCs w:val="28"/>
          <w:lang w:val="nl-NL"/>
        </w:rPr>
        <w:t>u h</w:t>
      </w:r>
      <w:r w:rsidR="00383157" w:rsidRPr="00383157">
        <w:rPr>
          <w:rFonts w:asciiTheme="majorHAnsi" w:hAnsiTheme="majorHAnsi" w:cstheme="majorHAnsi"/>
          <w:sz w:val="28"/>
          <w:szCs w:val="28"/>
          <w:lang w:val="nl-NL"/>
        </w:rPr>
        <w:t>ỏa</w:t>
      </w:r>
      <w:r w:rsidR="00383157">
        <w:rPr>
          <w:rFonts w:asciiTheme="majorHAnsi" w:hAnsiTheme="majorHAnsi" w:cstheme="majorHAnsi"/>
          <w:sz w:val="28"/>
          <w:szCs w:val="28"/>
          <w:lang w:val="nl-NL"/>
        </w:rPr>
        <w:t>: 300 đ</w:t>
      </w:r>
      <w:r w:rsidR="00383157" w:rsidRPr="00383157">
        <w:rPr>
          <w:rFonts w:asciiTheme="majorHAnsi" w:hAnsiTheme="majorHAnsi" w:cstheme="majorHAnsi"/>
          <w:sz w:val="28"/>
          <w:szCs w:val="28"/>
          <w:lang w:val="nl-NL"/>
        </w:rPr>
        <w:t>ồng</w:t>
      </w:r>
      <w:r w:rsidR="00383157">
        <w:rPr>
          <w:rFonts w:asciiTheme="majorHAnsi" w:hAnsiTheme="majorHAnsi" w:cstheme="majorHAnsi"/>
          <w:sz w:val="28"/>
          <w:szCs w:val="28"/>
          <w:lang w:val="nl-NL"/>
        </w:rPr>
        <w:t>/l</w:t>
      </w:r>
      <w:r w:rsidR="00383157" w:rsidRPr="00383157">
        <w:rPr>
          <w:rFonts w:asciiTheme="majorHAnsi" w:hAnsiTheme="majorHAnsi" w:cstheme="majorHAnsi"/>
          <w:sz w:val="28"/>
          <w:szCs w:val="28"/>
          <w:lang w:val="nl-NL"/>
        </w:rPr>
        <w:t>ít</w:t>
      </w:r>
      <w:r w:rsidRPr="006F315D">
        <w:rPr>
          <w:rFonts w:asciiTheme="majorHAnsi" w:hAnsiTheme="majorHAnsi" w:cstheme="majorHAnsi"/>
          <w:sz w:val="28"/>
          <w:szCs w:val="28"/>
          <w:lang w:val="nl-NL"/>
        </w:rPr>
        <w:t>); Than đá (than antraxit: 20.000 đồng/tấn, than nâu, than mỡ, than đá kh</w:t>
      </w:r>
      <w:r w:rsidR="00383157">
        <w:rPr>
          <w:rFonts w:asciiTheme="majorHAnsi" w:hAnsiTheme="majorHAnsi" w:cstheme="majorHAnsi"/>
          <w:sz w:val="28"/>
          <w:szCs w:val="28"/>
          <w:lang w:val="nl-NL"/>
        </w:rPr>
        <w:t xml:space="preserve">ác: 10.000 đồng/tấn); Dung dịch </w:t>
      </w:r>
      <w:r w:rsidRPr="006F315D">
        <w:rPr>
          <w:rFonts w:asciiTheme="majorHAnsi" w:hAnsiTheme="majorHAnsi" w:cstheme="majorHAnsi"/>
          <w:sz w:val="28"/>
          <w:szCs w:val="28"/>
          <w:lang w:val="nl-NL"/>
        </w:rPr>
        <w:t>HCFC: 4.000 đồng/kg; Túi ni lông thuộc diện chịu thuế: 40.000 đồng/kg; Thuốc diệt cỏ thuộc loại hạn chế sử dụng: 500 đồng/kg; Thuốc trừ mối thuộc loại hạn chế sử dụng, thuốc bảo quản lâm sản thuộc loại hạn chế sử dụng, thuốc khử trùng kho thuộc loại hạn chế sử dụng: 1.000 đồng/kg.</w:t>
      </w:r>
    </w:p>
    <w:p w:rsidR="00500610" w:rsidRPr="006F315D" w:rsidRDefault="008C2C60" w:rsidP="00DF3E56">
      <w:pPr>
        <w:spacing w:before="60" w:after="60" w:line="264" w:lineRule="auto"/>
        <w:ind w:firstLine="720"/>
        <w:jc w:val="both"/>
        <w:rPr>
          <w:sz w:val="28"/>
          <w:szCs w:val="28"/>
          <w:lang w:val="pt-BR"/>
        </w:rPr>
      </w:pPr>
      <w:r>
        <w:rPr>
          <w:sz w:val="28"/>
          <w:szCs w:val="28"/>
          <w:lang w:val="pt-BR"/>
        </w:rPr>
        <w:t>Ch</w:t>
      </w:r>
      <w:r w:rsidRPr="008C2C60">
        <w:rPr>
          <w:sz w:val="28"/>
          <w:szCs w:val="28"/>
          <w:lang w:val="pt-BR"/>
        </w:rPr>
        <w:t>í</w:t>
      </w:r>
      <w:r>
        <w:rPr>
          <w:sz w:val="28"/>
          <w:szCs w:val="28"/>
          <w:lang w:val="pt-BR"/>
        </w:rPr>
        <w:t>nh ph</w:t>
      </w:r>
      <w:r w:rsidRPr="008C2C60">
        <w:rPr>
          <w:sz w:val="28"/>
          <w:szCs w:val="28"/>
          <w:lang w:val="pt-BR"/>
        </w:rPr>
        <w:t>ủ</w:t>
      </w:r>
      <w:r w:rsidR="00C234CE" w:rsidRPr="006F315D">
        <w:rPr>
          <w:sz w:val="28"/>
          <w:szCs w:val="28"/>
          <w:lang w:val="pt-BR"/>
        </w:rPr>
        <w:t xml:space="preserve"> tổng kết, đánh giá tình hình triển khai </w:t>
      </w:r>
      <w:r w:rsidR="00B734AA" w:rsidRPr="006F315D">
        <w:rPr>
          <w:sz w:val="28"/>
          <w:szCs w:val="28"/>
          <w:lang w:val="pt-BR"/>
        </w:rPr>
        <w:t>q</w:t>
      </w:r>
      <w:r w:rsidR="00B734AA" w:rsidRPr="006F315D">
        <w:rPr>
          <w:rFonts w:asciiTheme="majorHAnsi" w:hAnsiTheme="majorHAnsi" w:cstheme="majorHAnsi"/>
          <w:sz w:val="28"/>
          <w:szCs w:val="28"/>
          <w:lang w:val="nl-NL"/>
        </w:rPr>
        <w:t>uy định về mứ</w:t>
      </w:r>
      <w:r w:rsidR="00117E7E" w:rsidRPr="006F315D">
        <w:rPr>
          <w:rFonts w:asciiTheme="majorHAnsi" w:hAnsiTheme="majorHAnsi" w:cstheme="majorHAnsi"/>
          <w:sz w:val="28"/>
          <w:szCs w:val="28"/>
          <w:lang w:val="nl-NL"/>
        </w:rPr>
        <w:t xml:space="preserve">c thuế BVMT của UBTVQH </w:t>
      </w:r>
      <w:r w:rsidR="00C234CE" w:rsidRPr="006F315D">
        <w:rPr>
          <w:sz w:val="28"/>
          <w:szCs w:val="28"/>
          <w:lang w:val="pt-BR"/>
        </w:rPr>
        <w:t>như sau:</w:t>
      </w:r>
      <w:bookmarkStart w:id="0" w:name="_Toc145126114"/>
      <w:bookmarkStart w:id="1" w:name="_Toc373445414"/>
      <w:bookmarkStart w:id="2" w:name="_Toc373494977"/>
    </w:p>
    <w:p w:rsidR="00500610" w:rsidRPr="006F315D" w:rsidRDefault="00500610" w:rsidP="00DF3E56">
      <w:pPr>
        <w:spacing w:before="60" w:after="60" w:line="264" w:lineRule="auto"/>
        <w:ind w:firstLine="720"/>
        <w:jc w:val="center"/>
        <w:rPr>
          <w:b/>
          <w:sz w:val="28"/>
          <w:szCs w:val="28"/>
          <w:lang w:val="pl-PL"/>
        </w:rPr>
      </w:pPr>
    </w:p>
    <w:p w:rsidR="007504AB" w:rsidRPr="006F315D" w:rsidRDefault="00FF07BD" w:rsidP="00DF3E56">
      <w:pPr>
        <w:spacing w:before="60" w:after="60" w:line="264" w:lineRule="auto"/>
        <w:jc w:val="center"/>
        <w:rPr>
          <w:b/>
          <w:sz w:val="28"/>
          <w:szCs w:val="28"/>
          <w:lang w:val="pl-PL"/>
        </w:rPr>
      </w:pPr>
      <w:r w:rsidRPr="006F315D">
        <w:rPr>
          <w:b/>
          <w:sz w:val="28"/>
          <w:szCs w:val="28"/>
          <w:lang w:val="pl-PL"/>
        </w:rPr>
        <w:t>Phần thứ nhất</w:t>
      </w:r>
      <w:bookmarkStart w:id="3" w:name="_Toc145126116"/>
      <w:bookmarkEnd w:id="0"/>
      <w:bookmarkEnd w:id="1"/>
      <w:bookmarkEnd w:id="2"/>
    </w:p>
    <w:p w:rsidR="00CA6A73" w:rsidRPr="006F315D" w:rsidRDefault="0075077D" w:rsidP="00DF3E56">
      <w:pPr>
        <w:spacing w:before="60" w:after="60" w:line="264" w:lineRule="auto"/>
        <w:jc w:val="center"/>
        <w:rPr>
          <w:rFonts w:asciiTheme="majorHAnsi" w:hAnsiTheme="majorHAnsi" w:cstheme="majorHAnsi"/>
          <w:b/>
          <w:sz w:val="26"/>
          <w:szCs w:val="26"/>
          <w:lang w:val="pl-PL"/>
        </w:rPr>
      </w:pPr>
      <w:r w:rsidRPr="006F315D">
        <w:rPr>
          <w:rFonts w:asciiTheme="majorHAnsi" w:hAnsiTheme="majorHAnsi" w:cstheme="majorHAnsi"/>
          <w:b/>
          <w:sz w:val="26"/>
          <w:szCs w:val="26"/>
          <w:lang w:val="vi-VN"/>
        </w:rPr>
        <w:t xml:space="preserve">KẾT QUẢ THỰC HIỆN </w:t>
      </w:r>
      <w:r w:rsidR="005A4722" w:rsidRPr="006F315D">
        <w:rPr>
          <w:rFonts w:asciiTheme="majorHAnsi" w:hAnsiTheme="majorHAnsi" w:cstheme="majorHAnsi"/>
          <w:b/>
          <w:sz w:val="26"/>
          <w:szCs w:val="26"/>
          <w:lang w:val="pt-BR"/>
        </w:rPr>
        <w:t xml:space="preserve">CÁC </w:t>
      </w:r>
      <w:r w:rsidR="00CA6A73" w:rsidRPr="006F315D">
        <w:rPr>
          <w:rFonts w:asciiTheme="majorHAnsi" w:hAnsiTheme="majorHAnsi" w:cstheme="majorHAnsi"/>
          <w:b/>
          <w:sz w:val="26"/>
          <w:szCs w:val="26"/>
          <w:lang w:val="pl-PL"/>
        </w:rPr>
        <w:t xml:space="preserve">NGHỊ QUYẾT CỦA UBTVQH </w:t>
      </w:r>
    </w:p>
    <w:p w:rsidR="007504AB" w:rsidRPr="006F315D" w:rsidRDefault="00CA6A73" w:rsidP="00DF3E56">
      <w:pPr>
        <w:spacing w:before="60" w:after="60" w:line="264" w:lineRule="auto"/>
        <w:jc w:val="center"/>
        <w:rPr>
          <w:rFonts w:asciiTheme="majorHAnsi" w:hAnsiTheme="majorHAnsi" w:cstheme="majorHAnsi"/>
          <w:b/>
          <w:sz w:val="26"/>
          <w:szCs w:val="26"/>
          <w:lang w:val="pl-PL"/>
        </w:rPr>
      </w:pPr>
      <w:r w:rsidRPr="006F315D">
        <w:rPr>
          <w:rFonts w:asciiTheme="majorHAnsi" w:hAnsiTheme="majorHAnsi" w:cstheme="majorHAnsi"/>
          <w:b/>
          <w:sz w:val="26"/>
          <w:szCs w:val="26"/>
          <w:lang w:val="pl-PL"/>
        </w:rPr>
        <w:t xml:space="preserve">VỀ MỨC THUẾ </w:t>
      </w:r>
      <w:r w:rsidR="0038492E" w:rsidRPr="006F315D">
        <w:rPr>
          <w:rFonts w:asciiTheme="majorHAnsi" w:hAnsiTheme="majorHAnsi" w:cstheme="majorHAnsi"/>
          <w:b/>
          <w:sz w:val="26"/>
          <w:szCs w:val="26"/>
          <w:lang w:val="pl-PL"/>
        </w:rPr>
        <w:t xml:space="preserve">BẢO VỆ MÔI TRƯỜNG </w:t>
      </w:r>
      <w:bookmarkEnd w:id="3"/>
    </w:p>
    <w:p w:rsidR="0043413D" w:rsidRPr="006F315D" w:rsidRDefault="0043413D" w:rsidP="00DF3E56">
      <w:pPr>
        <w:spacing w:before="60" w:after="60" w:line="264" w:lineRule="auto"/>
        <w:ind w:firstLine="720"/>
        <w:jc w:val="both"/>
        <w:rPr>
          <w:rFonts w:asciiTheme="majorHAnsi" w:hAnsiTheme="majorHAnsi" w:cstheme="majorHAnsi"/>
          <w:b/>
          <w:bCs/>
          <w:sz w:val="28"/>
          <w:szCs w:val="28"/>
          <w:lang w:val="pt-BR"/>
        </w:rPr>
      </w:pPr>
    </w:p>
    <w:p w:rsidR="007504AB" w:rsidRPr="006F315D" w:rsidRDefault="001E4800" w:rsidP="00DF3E56">
      <w:pPr>
        <w:spacing w:before="60" w:after="60" w:line="264" w:lineRule="auto"/>
        <w:ind w:firstLine="720"/>
        <w:jc w:val="both"/>
        <w:rPr>
          <w:b/>
          <w:sz w:val="28"/>
          <w:szCs w:val="28"/>
          <w:lang w:val="pt-BR"/>
        </w:rPr>
      </w:pPr>
      <w:r w:rsidRPr="006F315D">
        <w:rPr>
          <w:rFonts w:asciiTheme="majorHAnsi" w:hAnsiTheme="majorHAnsi" w:cstheme="majorHAnsi"/>
          <w:b/>
          <w:bCs/>
          <w:sz w:val="28"/>
          <w:szCs w:val="28"/>
          <w:lang w:val="pt-BR"/>
        </w:rPr>
        <w:t xml:space="preserve">1. </w:t>
      </w:r>
      <w:r w:rsidR="0075077D" w:rsidRPr="006F315D">
        <w:rPr>
          <w:rFonts w:asciiTheme="majorHAnsi" w:hAnsiTheme="majorHAnsi" w:cstheme="majorHAnsi"/>
          <w:b/>
          <w:bCs/>
          <w:sz w:val="28"/>
          <w:szCs w:val="28"/>
          <w:lang w:val="pt-BR"/>
        </w:rPr>
        <w:t xml:space="preserve">Thể chế hóa chủ trương, chính sách của Đảng và Nhà nước </w:t>
      </w:r>
      <w:r w:rsidR="000D038B">
        <w:rPr>
          <w:rFonts w:asciiTheme="majorHAnsi" w:hAnsiTheme="majorHAnsi" w:cstheme="majorHAnsi"/>
          <w:b/>
          <w:bCs/>
          <w:sz w:val="28"/>
          <w:szCs w:val="28"/>
          <w:lang w:val="pt-BR"/>
        </w:rPr>
        <w:t xml:space="preserve">về xây dựng, </w:t>
      </w:r>
      <w:r w:rsidR="004F204E" w:rsidRPr="006F315D">
        <w:rPr>
          <w:rFonts w:asciiTheme="majorHAnsi" w:hAnsiTheme="majorHAnsi" w:cstheme="majorHAnsi"/>
          <w:b/>
          <w:bCs/>
          <w:sz w:val="28"/>
          <w:szCs w:val="28"/>
          <w:lang w:val="pt-BR"/>
        </w:rPr>
        <w:t>hoàn thiện khung pháp luật về thuế BVMT</w:t>
      </w:r>
    </w:p>
    <w:p w:rsidR="007504AB" w:rsidRPr="006F315D" w:rsidRDefault="0075077D" w:rsidP="00DF3E56">
      <w:pPr>
        <w:spacing w:before="60" w:after="60" w:line="264" w:lineRule="auto"/>
        <w:ind w:firstLine="720"/>
        <w:jc w:val="both"/>
        <w:rPr>
          <w:b/>
          <w:sz w:val="28"/>
          <w:szCs w:val="28"/>
          <w:lang w:val="pt-BR"/>
        </w:rPr>
      </w:pPr>
      <w:r w:rsidRPr="006F315D">
        <w:rPr>
          <w:rFonts w:asciiTheme="majorHAnsi" w:hAnsiTheme="majorHAnsi" w:cstheme="majorHAnsi"/>
          <w:bCs/>
          <w:sz w:val="28"/>
          <w:szCs w:val="28"/>
          <w:lang w:val="pt-BR"/>
        </w:rPr>
        <w:t xml:space="preserve">BVMT được xác định là một chủ trương, chính sách lớn, nhiệm vụ quan trọng của Đảng và Nhà nước trong quá trình </w:t>
      </w:r>
      <w:r w:rsidR="00D0189E" w:rsidRPr="006F315D">
        <w:rPr>
          <w:rFonts w:asciiTheme="majorHAnsi" w:hAnsiTheme="majorHAnsi" w:cstheme="majorHAnsi"/>
          <w:bCs/>
          <w:sz w:val="28"/>
          <w:szCs w:val="28"/>
          <w:lang w:val="pt-BR"/>
        </w:rPr>
        <w:t xml:space="preserve">công nghiệp hóa, hiện đại hóa đất </w:t>
      </w:r>
      <w:r w:rsidRPr="006F315D">
        <w:rPr>
          <w:rFonts w:asciiTheme="majorHAnsi" w:hAnsiTheme="majorHAnsi" w:cstheme="majorHAnsi"/>
          <w:bCs/>
          <w:sz w:val="28"/>
          <w:szCs w:val="28"/>
          <w:lang w:val="pt-BR"/>
        </w:rPr>
        <w:t xml:space="preserve">nước. Hiến pháp năm 1992 quy định: </w:t>
      </w:r>
      <w:r w:rsidRPr="006F315D">
        <w:rPr>
          <w:rFonts w:asciiTheme="majorHAnsi" w:hAnsiTheme="majorHAnsi" w:cstheme="majorHAnsi"/>
          <w:bCs/>
          <w:i/>
          <w:sz w:val="28"/>
          <w:szCs w:val="28"/>
          <w:lang w:val="pt-BR"/>
        </w:rPr>
        <w:t>“Các cơ quan Nhà nước, các đơn vị thuộc lực lượng vũ trang, các đoàn thể xã hội và tất cả các cá nhân phải tuân thủ các quy định của Nhà nước về việc sử dụng hợp lý các tài sản thiên nhiên và bảo vệ môi trường”</w:t>
      </w:r>
      <w:r w:rsidRPr="006F315D">
        <w:rPr>
          <w:rFonts w:asciiTheme="majorHAnsi" w:hAnsiTheme="majorHAnsi" w:cstheme="majorHAnsi"/>
          <w:bCs/>
          <w:sz w:val="28"/>
          <w:szCs w:val="28"/>
          <w:lang w:val="pt-BR"/>
        </w:rPr>
        <w:t xml:space="preserve"> (Điều 29); Luật BVMT năm 2005 quy định: </w:t>
      </w:r>
      <w:r w:rsidRPr="006F315D">
        <w:rPr>
          <w:rFonts w:asciiTheme="majorHAnsi" w:hAnsiTheme="majorHAnsi" w:cstheme="majorHAnsi"/>
          <w:bCs/>
          <w:i/>
          <w:sz w:val="28"/>
          <w:szCs w:val="28"/>
          <w:lang w:val="pt-BR"/>
        </w:rPr>
        <w:t>“Tổ chức, hộ gia đình, cá nhân sản xuất, kinh doanh một số sản phẩm gây tác động xấu lâu dài đến môi trường và sức khỏe con người thì phải nộp thuế môi trường”</w:t>
      </w:r>
      <w:r w:rsidRPr="006F315D">
        <w:rPr>
          <w:rFonts w:asciiTheme="majorHAnsi" w:hAnsiTheme="majorHAnsi" w:cstheme="majorHAnsi"/>
          <w:bCs/>
          <w:sz w:val="28"/>
          <w:szCs w:val="28"/>
          <w:lang w:val="pt-BR"/>
        </w:rPr>
        <w:t>(Điều 112).</w:t>
      </w:r>
      <w:r w:rsidRPr="006F315D">
        <w:rPr>
          <w:rFonts w:asciiTheme="majorHAnsi" w:eastAsia="Arial" w:hAnsiTheme="majorHAnsi" w:cstheme="majorHAnsi"/>
          <w:sz w:val="28"/>
          <w:szCs w:val="28"/>
          <w:lang w:val="pl-PL"/>
        </w:rPr>
        <w:t xml:space="preserve"> </w:t>
      </w:r>
      <w:r w:rsidR="00B026FE" w:rsidRPr="006F315D">
        <w:rPr>
          <w:rFonts w:asciiTheme="majorHAnsi" w:eastAsia="Arial" w:hAnsiTheme="majorHAnsi" w:cstheme="majorHAnsi"/>
          <w:sz w:val="28"/>
          <w:szCs w:val="28"/>
          <w:lang w:val="pl-PL"/>
        </w:rPr>
        <w:t>Theo đó, p</w:t>
      </w:r>
      <w:r w:rsidR="001E4800" w:rsidRPr="006F315D">
        <w:rPr>
          <w:rFonts w:asciiTheme="majorHAnsi" w:eastAsia="Arial" w:hAnsiTheme="majorHAnsi" w:cstheme="majorHAnsi"/>
          <w:sz w:val="28"/>
          <w:szCs w:val="28"/>
          <w:lang w:val="pl-PL"/>
        </w:rPr>
        <w:t xml:space="preserve">háp luật về </w:t>
      </w:r>
      <w:r w:rsidRPr="006F315D">
        <w:rPr>
          <w:rFonts w:asciiTheme="majorHAnsi" w:eastAsia="Arial" w:hAnsiTheme="majorHAnsi" w:cstheme="majorHAnsi"/>
          <w:sz w:val="28"/>
          <w:szCs w:val="28"/>
          <w:lang w:val="pl-PL"/>
        </w:rPr>
        <w:t xml:space="preserve">thuế BVMT </w:t>
      </w:r>
      <w:r w:rsidR="00F556C9" w:rsidRPr="006F315D">
        <w:rPr>
          <w:rFonts w:asciiTheme="majorHAnsi" w:eastAsia="Arial" w:hAnsiTheme="majorHAnsi" w:cstheme="majorHAnsi"/>
          <w:sz w:val="28"/>
          <w:szCs w:val="28"/>
          <w:lang w:val="pl-PL"/>
        </w:rPr>
        <w:t>đã</w:t>
      </w:r>
      <w:r w:rsidRPr="006F315D">
        <w:rPr>
          <w:rFonts w:asciiTheme="majorHAnsi" w:eastAsia="Arial" w:hAnsiTheme="majorHAnsi" w:cstheme="majorHAnsi"/>
          <w:sz w:val="28"/>
          <w:szCs w:val="28"/>
          <w:lang w:val="pl-PL"/>
        </w:rPr>
        <w:t xml:space="preserve"> được xây dự</w:t>
      </w:r>
      <w:r w:rsidR="001E4800" w:rsidRPr="006F315D">
        <w:rPr>
          <w:rFonts w:asciiTheme="majorHAnsi" w:eastAsia="Arial" w:hAnsiTheme="majorHAnsi" w:cstheme="majorHAnsi"/>
          <w:sz w:val="28"/>
          <w:szCs w:val="28"/>
          <w:lang w:val="pl-PL"/>
        </w:rPr>
        <w:t>ng và</w:t>
      </w:r>
      <w:r w:rsidRPr="006F315D">
        <w:rPr>
          <w:rFonts w:asciiTheme="majorHAnsi" w:eastAsia="Arial" w:hAnsiTheme="majorHAnsi" w:cstheme="majorHAnsi"/>
          <w:sz w:val="28"/>
          <w:szCs w:val="28"/>
          <w:lang w:val="pl-PL"/>
        </w:rPr>
        <w:t xml:space="preserve"> hoàn thiện </w:t>
      </w:r>
      <w:r w:rsidR="001E4800" w:rsidRPr="006F315D">
        <w:rPr>
          <w:rFonts w:asciiTheme="majorHAnsi" w:eastAsia="Arial" w:hAnsiTheme="majorHAnsi" w:cstheme="majorHAnsi"/>
          <w:sz w:val="28"/>
          <w:szCs w:val="28"/>
          <w:lang w:val="pl-PL"/>
        </w:rPr>
        <w:t xml:space="preserve">trong </w:t>
      </w:r>
      <w:r w:rsidRPr="006F315D">
        <w:rPr>
          <w:rFonts w:asciiTheme="majorHAnsi" w:eastAsia="Arial" w:hAnsiTheme="majorHAnsi" w:cstheme="majorHAnsi"/>
          <w:sz w:val="28"/>
          <w:szCs w:val="28"/>
          <w:lang w:val="pl-PL"/>
        </w:rPr>
        <w:t>hệ thống chính sách thuế của nước ta với mục tiêu thu thuế vào các hàng hóa khi sử dụng gây ô nhiễm môi trường.</w:t>
      </w:r>
    </w:p>
    <w:p w:rsidR="007504AB" w:rsidRPr="006F315D" w:rsidRDefault="005435E4" w:rsidP="00DF3E56">
      <w:pPr>
        <w:spacing w:before="60" w:after="60" w:line="264" w:lineRule="auto"/>
        <w:ind w:firstLine="720"/>
        <w:jc w:val="both"/>
        <w:rPr>
          <w:b/>
          <w:sz w:val="28"/>
          <w:szCs w:val="28"/>
          <w:lang w:val="pt-BR"/>
        </w:rPr>
      </w:pPr>
      <w:r w:rsidRPr="006F315D">
        <w:rPr>
          <w:rFonts w:asciiTheme="majorHAnsi" w:hAnsiTheme="majorHAnsi" w:cstheme="majorHAnsi"/>
          <w:bCs/>
          <w:sz w:val="28"/>
          <w:szCs w:val="28"/>
          <w:lang w:val="pl-PL"/>
        </w:rPr>
        <w:t>T</w:t>
      </w:r>
      <w:r w:rsidR="0075077D" w:rsidRPr="006F315D">
        <w:rPr>
          <w:rFonts w:asciiTheme="majorHAnsi" w:hAnsiTheme="majorHAnsi" w:cstheme="majorHAnsi"/>
          <w:bCs/>
          <w:sz w:val="28"/>
          <w:szCs w:val="28"/>
          <w:lang w:val="pt-BR"/>
        </w:rPr>
        <w:t xml:space="preserve">huế BVMT </w:t>
      </w:r>
      <w:r w:rsidR="0075077D" w:rsidRPr="006F315D">
        <w:rPr>
          <w:rFonts w:asciiTheme="majorHAnsi" w:hAnsiTheme="majorHAnsi" w:cstheme="majorHAnsi"/>
          <w:sz w:val="28"/>
          <w:szCs w:val="28"/>
          <w:lang w:val="pl-PL"/>
        </w:rPr>
        <w:t xml:space="preserve">là </w:t>
      </w:r>
      <w:r w:rsidR="0075077D" w:rsidRPr="006F315D">
        <w:rPr>
          <w:rFonts w:asciiTheme="majorHAnsi" w:eastAsia="Arial" w:hAnsiTheme="majorHAnsi" w:cstheme="majorHAnsi"/>
          <w:sz w:val="28"/>
          <w:szCs w:val="28"/>
          <w:lang w:val="am-ET"/>
        </w:rPr>
        <w:t>thuế gián thu, thu vào sản phẩm, hàng hóa khi sử dụng gây tác động xấu đến môi trường</w:t>
      </w:r>
      <w:r w:rsidR="0075077D" w:rsidRPr="006F315D">
        <w:rPr>
          <w:rFonts w:asciiTheme="majorHAnsi" w:eastAsia="Arial" w:hAnsiTheme="majorHAnsi" w:cstheme="majorHAnsi"/>
          <w:sz w:val="28"/>
          <w:szCs w:val="28"/>
          <w:lang w:val="pl-PL"/>
        </w:rPr>
        <w:t>.</w:t>
      </w:r>
      <w:r w:rsidR="0075077D" w:rsidRPr="006F315D">
        <w:rPr>
          <w:rFonts w:asciiTheme="majorHAnsi" w:eastAsia="Arial" w:hAnsiTheme="majorHAnsi" w:cstheme="majorHAnsi"/>
          <w:sz w:val="28"/>
          <w:szCs w:val="28"/>
          <w:lang w:val="am-ET"/>
        </w:rPr>
        <w:t xml:space="preserve"> </w:t>
      </w:r>
      <w:r w:rsidRPr="006F315D">
        <w:rPr>
          <w:rFonts w:asciiTheme="majorHAnsi" w:eastAsia="Arial" w:hAnsiTheme="majorHAnsi" w:cstheme="majorHAnsi"/>
          <w:sz w:val="28"/>
          <w:szCs w:val="28"/>
          <w:lang w:val="am-ET"/>
        </w:rPr>
        <w:t>Việ</w:t>
      </w:r>
      <w:r w:rsidR="00CC5850" w:rsidRPr="006F315D">
        <w:rPr>
          <w:rFonts w:asciiTheme="majorHAnsi" w:eastAsia="Arial" w:hAnsiTheme="majorHAnsi" w:cstheme="majorHAnsi"/>
          <w:sz w:val="28"/>
          <w:szCs w:val="28"/>
          <w:lang w:val="am-ET"/>
        </w:rPr>
        <w:t xml:space="preserve">c </w:t>
      </w:r>
      <w:r w:rsidRPr="006F315D">
        <w:rPr>
          <w:rFonts w:asciiTheme="majorHAnsi" w:hAnsiTheme="majorHAnsi" w:cstheme="majorHAnsi"/>
          <w:bCs/>
          <w:sz w:val="28"/>
          <w:szCs w:val="28"/>
          <w:lang w:val="pt-BR"/>
        </w:rPr>
        <w:t>quy định mức thuế cụ thể của từng hàng hóa</w:t>
      </w:r>
      <w:r w:rsidR="001E4800" w:rsidRPr="006F315D">
        <w:rPr>
          <w:rFonts w:asciiTheme="majorHAnsi" w:hAnsiTheme="majorHAnsi" w:cstheme="majorHAnsi"/>
          <w:bCs/>
          <w:sz w:val="28"/>
          <w:szCs w:val="28"/>
          <w:lang w:val="pt-BR"/>
        </w:rPr>
        <w:t xml:space="preserve"> </w:t>
      </w:r>
      <w:r w:rsidRPr="006F315D">
        <w:rPr>
          <w:rFonts w:asciiTheme="majorHAnsi" w:hAnsiTheme="majorHAnsi" w:cstheme="majorHAnsi"/>
          <w:bCs/>
          <w:sz w:val="28"/>
          <w:szCs w:val="28"/>
          <w:lang w:val="pt-BR"/>
        </w:rPr>
        <w:t xml:space="preserve">thuộc đối tượng chịu thuế đảm bảo trong khung thuế được quy định tại Luật và phù hợp với chính sách </w:t>
      </w:r>
      <w:r w:rsidR="00B026FE" w:rsidRPr="006F315D">
        <w:rPr>
          <w:rFonts w:asciiTheme="majorHAnsi" w:hAnsiTheme="majorHAnsi" w:cstheme="majorHAnsi"/>
          <w:bCs/>
          <w:sz w:val="28"/>
          <w:szCs w:val="28"/>
          <w:lang w:val="pt-BR"/>
        </w:rPr>
        <w:t xml:space="preserve">phát triển </w:t>
      </w:r>
      <w:r w:rsidRPr="006F315D">
        <w:rPr>
          <w:rFonts w:asciiTheme="majorHAnsi" w:hAnsiTheme="majorHAnsi" w:cstheme="majorHAnsi"/>
          <w:bCs/>
          <w:sz w:val="28"/>
          <w:szCs w:val="28"/>
          <w:lang w:val="pt-BR"/>
        </w:rPr>
        <w:t xml:space="preserve">kinh tế - xã hội của Nhà nước </w:t>
      </w:r>
      <w:r w:rsidR="001E4800" w:rsidRPr="006F315D">
        <w:rPr>
          <w:rFonts w:asciiTheme="majorHAnsi" w:hAnsiTheme="majorHAnsi" w:cstheme="majorHAnsi"/>
          <w:bCs/>
          <w:sz w:val="28"/>
          <w:szCs w:val="28"/>
          <w:lang w:val="pt-BR"/>
        </w:rPr>
        <w:t>trong từng thời kỳ đã</w:t>
      </w:r>
      <w:r w:rsidR="0075077D" w:rsidRPr="006F315D">
        <w:rPr>
          <w:rFonts w:asciiTheme="majorHAnsi" w:hAnsiTheme="majorHAnsi" w:cstheme="majorHAnsi"/>
          <w:bCs/>
          <w:sz w:val="28"/>
          <w:szCs w:val="28"/>
          <w:lang w:val="pt-BR"/>
        </w:rPr>
        <w:t xml:space="preserve"> góp phần đảm bảo mục tiêu xây dựng </w:t>
      </w:r>
      <w:r w:rsidR="00E4707F" w:rsidRPr="006F315D">
        <w:rPr>
          <w:rFonts w:asciiTheme="majorHAnsi" w:hAnsiTheme="majorHAnsi" w:cstheme="majorHAnsi"/>
          <w:bCs/>
          <w:sz w:val="28"/>
          <w:szCs w:val="28"/>
          <w:lang w:val="pt-BR"/>
        </w:rPr>
        <w:t xml:space="preserve">và hoàn thiện khung </w:t>
      </w:r>
      <w:r w:rsidR="00E4707F" w:rsidRPr="006F315D">
        <w:rPr>
          <w:rFonts w:asciiTheme="majorHAnsi" w:hAnsiTheme="majorHAnsi" w:cstheme="majorHAnsi"/>
          <w:bCs/>
          <w:sz w:val="28"/>
          <w:szCs w:val="28"/>
          <w:lang w:val="pt-BR"/>
        </w:rPr>
        <w:lastRenderedPageBreak/>
        <w:t>pháp luật về thuế</w:t>
      </w:r>
      <w:r w:rsidR="00B026FE" w:rsidRPr="006F315D">
        <w:rPr>
          <w:rFonts w:asciiTheme="majorHAnsi" w:hAnsiTheme="majorHAnsi" w:cstheme="majorHAnsi"/>
          <w:bCs/>
          <w:sz w:val="28"/>
          <w:szCs w:val="28"/>
          <w:lang w:val="pt-BR"/>
        </w:rPr>
        <w:t xml:space="preserve"> BVMT. Đây là </w:t>
      </w:r>
      <w:r w:rsidR="00E4707F" w:rsidRPr="006F315D">
        <w:rPr>
          <w:rFonts w:asciiTheme="majorHAnsi" w:hAnsiTheme="majorHAnsi" w:cstheme="majorHAnsi"/>
          <w:bCs/>
          <w:sz w:val="28"/>
          <w:szCs w:val="28"/>
          <w:lang w:val="pt-BR"/>
        </w:rPr>
        <w:t>cơ sở pháp lý rõ ràng, minh bạch</w:t>
      </w:r>
      <w:r w:rsidR="0075077D" w:rsidRPr="006F315D">
        <w:rPr>
          <w:rFonts w:asciiTheme="majorHAnsi" w:hAnsiTheme="majorHAnsi" w:cstheme="majorHAnsi"/>
          <w:bCs/>
          <w:sz w:val="28"/>
          <w:szCs w:val="28"/>
          <w:lang w:val="pt-BR"/>
        </w:rPr>
        <w:t>, góp phần tạo môi trường pháp lý bình đẳng, công bằng</w:t>
      </w:r>
      <w:r w:rsidR="00E4707F" w:rsidRPr="006F315D">
        <w:rPr>
          <w:rFonts w:asciiTheme="majorHAnsi" w:hAnsiTheme="majorHAnsi" w:cstheme="majorHAnsi"/>
          <w:bCs/>
          <w:sz w:val="28"/>
          <w:szCs w:val="28"/>
          <w:lang w:val="pt-BR"/>
        </w:rPr>
        <w:t>.</w:t>
      </w:r>
    </w:p>
    <w:p w:rsidR="00F51DF9" w:rsidRPr="006F315D" w:rsidRDefault="00E4707F" w:rsidP="00DF3E56">
      <w:pPr>
        <w:spacing w:before="60" w:after="60" w:line="264" w:lineRule="auto"/>
        <w:ind w:firstLine="720"/>
        <w:jc w:val="both"/>
        <w:rPr>
          <w:rFonts w:asciiTheme="majorHAnsi" w:eastAsia="Arial" w:hAnsiTheme="majorHAnsi" w:cstheme="majorHAnsi"/>
          <w:sz w:val="28"/>
          <w:szCs w:val="28"/>
          <w:lang w:val="pt-BR"/>
        </w:rPr>
      </w:pPr>
      <w:r w:rsidRPr="006F315D">
        <w:rPr>
          <w:rFonts w:asciiTheme="majorHAnsi" w:hAnsiTheme="majorHAnsi" w:cstheme="majorHAnsi"/>
          <w:bCs/>
          <w:sz w:val="28"/>
          <w:szCs w:val="28"/>
          <w:lang w:val="pt-BR"/>
        </w:rPr>
        <w:t>T</w:t>
      </w:r>
      <w:r w:rsidR="0075077D" w:rsidRPr="006F315D">
        <w:rPr>
          <w:rFonts w:asciiTheme="majorHAnsi" w:hAnsiTheme="majorHAnsi" w:cstheme="majorHAnsi"/>
          <w:bCs/>
          <w:sz w:val="28"/>
          <w:szCs w:val="28"/>
          <w:lang w:val="pt-BR"/>
        </w:rPr>
        <w:t xml:space="preserve">huế BVMT là giải pháp tài chính khuyến khích sản xuất, sử dụng sản phẩm, hàng hóa thân thiện với môi trường; hạn chế việc sản xuất, sử dụng hàng hóa gây tác động xấu đến môi trường (như sử dụng xăng, dầu, than đá thải ra khí các-bon, lưu huỳnh; sử dụng dung dịch HCFC gây hiệu ứng nhà kính, suy giảm tầng ô dôn, biến đổi khí hậu), từ đó </w:t>
      </w:r>
      <w:r w:rsidRPr="006F315D">
        <w:rPr>
          <w:rFonts w:asciiTheme="majorHAnsi" w:hAnsiTheme="majorHAnsi" w:cstheme="majorHAnsi"/>
          <w:bCs/>
          <w:sz w:val="28"/>
          <w:szCs w:val="28"/>
          <w:lang w:val="pt-BR"/>
        </w:rPr>
        <w:t xml:space="preserve">nâng cao nhận thức </w:t>
      </w:r>
      <w:r w:rsidR="007504AB" w:rsidRPr="006F315D">
        <w:rPr>
          <w:rFonts w:asciiTheme="majorHAnsi" w:hAnsiTheme="majorHAnsi" w:cstheme="majorHAnsi"/>
          <w:bCs/>
          <w:sz w:val="28"/>
          <w:szCs w:val="28"/>
          <w:lang w:val="pt-BR"/>
        </w:rPr>
        <w:t xml:space="preserve">và trách nhiệm </w:t>
      </w:r>
      <w:r w:rsidRPr="006F315D">
        <w:rPr>
          <w:rFonts w:asciiTheme="majorHAnsi" w:hAnsiTheme="majorHAnsi" w:cstheme="majorHAnsi"/>
          <w:bCs/>
          <w:sz w:val="28"/>
          <w:szCs w:val="28"/>
          <w:lang w:val="pt-BR"/>
        </w:rPr>
        <w:t>của xã hội đối với môi trường.</w:t>
      </w:r>
      <w:r w:rsidR="00F51DF9" w:rsidRPr="006F315D">
        <w:rPr>
          <w:rFonts w:asciiTheme="majorHAnsi" w:hAnsiTheme="majorHAnsi" w:cstheme="majorHAnsi"/>
          <w:bCs/>
          <w:sz w:val="28"/>
          <w:szCs w:val="28"/>
          <w:lang w:val="pt-BR"/>
        </w:rPr>
        <w:t xml:space="preserve"> </w:t>
      </w:r>
      <w:r w:rsidR="00F51DF9" w:rsidRPr="006F315D">
        <w:rPr>
          <w:rFonts w:asciiTheme="majorHAnsi" w:eastAsia="Arial" w:hAnsiTheme="majorHAnsi" w:cstheme="majorHAnsi"/>
          <w:sz w:val="28"/>
          <w:szCs w:val="28"/>
          <w:lang w:val="pt-BR"/>
        </w:rPr>
        <w:t>Bên cạnh các công cụ kinh tế khác, thuế BVMT thúc đẩy các tổ chức, cá nhân ý thức hơn trong việc tìm kiếm các biện pháp nhằm hạn chế tác động bất lợi cho tiêu dùng, hoạt động sản xuất kinh doanh, quan tâm hơn đến áp dụng các công nghệ sạch, công nghệ sản xuất tiên tiến, nghiên cứu sử dụng nguyên liệu thay thế nguyên liệu hóa thạch để sản xuất các sản phẩm thân thiện với môi trường, thay thế các sản phẩm gây ô nhiễm môi trường và kiểm soát ô nhiễm, góp phần sử dụng tài nguyên tiết kiệm, hiệu quả.</w:t>
      </w:r>
    </w:p>
    <w:p w:rsidR="007504AB" w:rsidRPr="006F315D" w:rsidRDefault="007504AB" w:rsidP="00DF3E56">
      <w:pPr>
        <w:spacing w:before="60" w:after="60" w:line="264" w:lineRule="auto"/>
        <w:ind w:firstLine="720"/>
        <w:jc w:val="both"/>
        <w:rPr>
          <w:rFonts w:asciiTheme="majorHAnsi" w:eastAsia="Arial" w:hAnsiTheme="majorHAnsi" w:cstheme="majorHAnsi"/>
          <w:sz w:val="28"/>
          <w:szCs w:val="28"/>
          <w:lang w:val="pt-BR"/>
        </w:rPr>
      </w:pPr>
      <w:r w:rsidRPr="006F315D">
        <w:rPr>
          <w:rFonts w:asciiTheme="majorHAnsi" w:hAnsiTheme="majorHAnsi" w:cstheme="majorHAnsi"/>
          <w:b/>
          <w:bCs/>
          <w:sz w:val="28"/>
          <w:szCs w:val="28"/>
          <w:lang w:val="pt-BR"/>
        </w:rPr>
        <w:t>2. K</w:t>
      </w:r>
      <w:r w:rsidRPr="006F315D">
        <w:rPr>
          <w:rFonts w:asciiTheme="majorHAnsi" w:hAnsiTheme="majorHAnsi" w:cstheme="majorHAnsi"/>
          <w:b/>
          <w:sz w:val="28"/>
          <w:szCs w:val="28"/>
          <w:lang w:val="pl-PL"/>
        </w:rPr>
        <w:t>huyến khích phát triển kinh tế bền vững đi liền giảm ô nhiễm môi trường</w:t>
      </w:r>
    </w:p>
    <w:p w:rsidR="00664A60" w:rsidRPr="006F315D" w:rsidRDefault="007504AB" w:rsidP="00DF3E56">
      <w:pPr>
        <w:spacing w:before="60" w:after="60" w:line="264" w:lineRule="auto"/>
        <w:ind w:firstLine="720"/>
        <w:jc w:val="both"/>
        <w:rPr>
          <w:sz w:val="28"/>
          <w:szCs w:val="28"/>
          <w:lang w:val="pl-PL"/>
        </w:rPr>
      </w:pPr>
      <w:r w:rsidRPr="006F315D">
        <w:rPr>
          <w:sz w:val="28"/>
          <w:szCs w:val="28"/>
          <w:lang w:val="pl-PL"/>
        </w:rPr>
        <w:t xml:space="preserve">Phát triển bền vững là mục tiêu cơ bản, quan trọng và dài hạn đối với mỗi quốc gia. </w:t>
      </w:r>
      <w:r w:rsidRPr="006F315D">
        <w:rPr>
          <w:iCs/>
          <w:sz w:val="28"/>
          <w:szCs w:val="28"/>
          <w:lang w:val="pl-PL"/>
        </w:rPr>
        <w:t xml:space="preserve">Kinh nghiệm từ nhiều nước trên thế giới đã cho thấy tập trung phát triển kinh tế mà không quan tâm tới các vấn đề môi trường sẽ mang lại hiệu quả kinh tế thấp, do chi phí cho các hoạt động xử lý ô nhiễm sẽ cao hơn chi phí đầu tư cho các biện pháp kiểm soát ô nhiễm. </w:t>
      </w:r>
      <w:r w:rsidRPr="006F315D">
        <w:rPr>
          <w:sz w:val="28"/>
          <w:szCs w:val="28"/>
          <w:lang w:val="pl-PL"/>
        </w:rPr>
        <w:t>Vì thế BVMT đã và</w:t>
      </w:r>
      <w:r w:rsidRPr="006F315D">
        <w:rPr>
          <w:color w:val="000000"/>
          <w:sz w:val="28"/>
          <w:szCs w:val="28"/>
          <w:lang w:val="pl-PL"/>
        </w:rPr>
        <w:t xml:space="preserve"> đang trở thành một vấn đề then chốt của chiến lược phát triển bền vững.</w:t>
      </w:r>
      <w:r w:rsidRPr="006F315D">
        <w:rPr>
          <w:sz w:val="28"/>
          <w:szCs w:val="28"/>
          <w:lang w:val="pl-PL"/>
        </w:rPr>
        <w:t xml:space="preserve"> </w:t>
      </w:r>
    </w:p>
    <w:p w:rsidR="00067C6F" w:rsidRPr="006F315D" w:rsidRDefault="00067C6F" w:rsidP="00DF3E56">
      <w:pPr>
        <w:spacing w:before="60" w:after="60" w:line="264" w:lineRule="auto"/>
        <w:ind w:firstLine="720"/>
        <w:jc w:val="both"/>
        <w:rPr>
          <w:iCs/>
          <w:sz w:val="28"/>
          <w:szCs w:val="28"/>
          <w:lang w:val="pl-PL"/>
        </w:rPr>
      </w:pPr>
      <w:r w:rsidRPr="006F315D">
        <w:rPr>
          <w:sz w:val="28"/>
          <w:szCs w:val="28"/>
          <w:lang w:val="pl-PL"/>
        </w:rPr>
        <w:t>Thực tế tại Việt Nam những năm vừa qua cho thấy, tăng trưởng kinh tế cao kèm theo đó là mức độ gây ô nhi</w:t>
      </w:r>
      <w:r w:rsidR="00F556C9" w:rsidRPr="006F315D">
        <w:rPr>
          <w:sz w:val="28"/>
          <w:szCs w:val="28"/>
          <w:lang w:val="pl-PL"/>
        </w:rPr>
        <w:t>ễ</w:t>
      </w:r>
      <w:r w:rsidRPr="006F315D">
        <w:rPr>
          <w:sz w:val="28"/>
          <w:szCs w:val="28"/>
          <w:lang w:val="pl-PL"/>
        </w:rPr>
        <w:t xml:space="preserve">m môi trường rất nghiêm trọng do nền kinh tế phát triển chủ yếu dựa vào khai thác tài nguyên thiên nhiên mà chưa dựa vào phát triển ứng dụng công nghệ cao. Theo báo cáo, </w:t>
      </w:r>
      <w:r w:rsidR="007504AB" w:rsidRPr="006F315D">
        <w:rPr>
          <w:iCs/>
          <w:sz w:val="28"/>
          <w:szCs w:val="28"/>
          <w:lang w:val="pl-PL"/>
        </w:rPr>
        <w:t>t</w:t>
      </w:r>
      <w:hyperlink r:id="rId8" w:history="1">
        <w:r w:rsidR="007504AB" w:rsidRPr="006F315D">
          <w:rPr>
            <w:iCs/>
            <w:sz w:val="28"/>
            <w:szCs w:val="28"/>
            <w:lang w:val="pl-PL"/>
          </w:rPr>
          <w:t>ổn thất do ô nhiễm môi trường lên tới 5,5%</w:t>
        </w:r>
        <w:r w:rsidR="00612366" w:rsidRPr="006F315D">
          <w:rPr>
            <w:iCs/>
            <w:sz w:val="28"/>
            <w:szCs w:val="28"/>
            <w:lang w:val="pl-PL"/>
          </w:rPr>
          <w:t xml:space="preserve"> tổng sản phẩm trong nước (</w:t>
        </w:r>
        <w:r w:rsidR="007504AB" w:rsidRPr="006F315D">
          <w:rPr>
            <w:iCs/>
            <w:sz w:val="28"/>
            <w:szCs w:val="28"/>
            <w:lang w:val="pl-PL"/>
          </w:rPr>
          <w:t>GDP</w:t>
        </w:r>
      </w:hyperlink>
      <w:r w:rsidR="00612366" w:rsidRPr="006F315D">
        <w:rPr>
          <w:lang w:val="pl-PL"/>
        </w:rPr>
        <w:t>)</w:t>
      </w:r>
      <w:r w:rsidR="007504AB" w:rsidRPr="006F315D">
        <w:rPr>
          <w:iCs/>
          <w:sz w:val="28"/>
          <w:szCs w:val="28"/>
          <w:lang w:val="pl-PL"/>
        </w:rPr>
        <w:t xml:space="preserve">. </w:t>
      </w:r>
      <w:r w:rsidR="00664A60" w:rsidRPr="006F315D">
        <w:rPr>
          <w:iCs/>
          <w:sz w:val="28"/>
          <w:szCs w:val="28"/>
          <w:lang w:val="pl-PL"/>
        </w:rPr>
        <w:t>Vì vậy,</w:t>
      </w:r>
      <w:r w:rsidRPr="006F315D">
        <w:rPr>
          <w:iCs/>
          <w:sz w:val="28"/>
          <w:szCs w:val="28"/>
          <w:lang w:val="pl-PL"/>
        </w:rPr>
        <w:t xml:space="preserve"> để thực hiện mục tiêu tăng trưởng xanh, phát triển bền vững, Việt</w:t>
      </w:r>
      <w:r w:rsidR="00F93023" w:rsidRPr="006F315D">
        <w:rPr>
          <w:iCs/>
          <w:sz w:val="28"/>
          <w:szCs w:val="28"/>
          <w:lang w:val="pl-PL"/>
        </w:rPr>
        <w:t xml:space="preserve"> Nam đã và đang</w:t>
      </w:r>
      <w:r w:rsidRPr="006F315D">
        <w:rPr>
          <w:iCs/>
          <w:sz w:val="28"/>
          <w:szCs w:val="28"/>
          <w:lang w:val="pl-PL"/>
        </w:rPr>
        <w:t xml:space="preserve"> thực hiện tái cấu trúc và hoàn thiện thể chế kinh tế, </w:t>
      </w:r>
      <w:r w:rsidR="00DF3CB1" w:rsidRPr="006F315D">
        <w:rPr>
          <w:iCs/>
          <w:sz w:val="28"/>
          <w:szCs w:val="28"/>
          <w:lang w:val="pl-PL"/>
        </w:rPr>
        <w:t>đầu tư và ứng dụng công nghệ tiên tiến nhằm khai thác, sử dụng hợp lý, tiết kiệm tài nguyên thiên nhiên, giảm thiểu phát thải gây hại cho môi trường cũng như giảm thiểu các tác động tiêu cực của hoạt động kinh tế đến môi trường; phòng ngừa, kiểm soát và khắc phục kịp thời ô nhiễm, suy thoái môi trường.</w:t>
      </w:r>
    </w:p>
    <w:p w:rsidR="00DF3CB1" w:rsidRPr="006F315D" w:rsidRDefault="00DF3CB1" w:rsidP="00DF3E56">
      <w:pPr>
        <w:spacing w:before="60" w:after="60" w:line="264" w:lineRule="auto"/>
        <w:ind w:firstLine="720"/>
        <w:jc w:val="both"/>
        <w:rPr>
          <w:iCs/>
          <w:sz w:val="28"/>
          <w:szCs w:val="28"/>
          <w:lang w:val="pl-PL"/>
        </w:rPr>
      </w:pPr>
      <w:r w:rsidRPr="006F315D">
        <w:rPr>
          <w:iCs/>
          <w:sz w:val="28"/>
          <w:szCs w:val="28"/>
          <w:lang w:val="pl-PL"/>
        </w:rPr>
        <w:t>Nghiên cứu kinh nghiệm quốc tế cho thấy, việc sử dụng công cụ thuế môi trường - một công cụ dựa vào thị trường để thay đổi ưu tiên của người tiêu dùng là một phương thức hiệu quả nhằm kích thích đầu tư theo hướng tăng trưởng xanh, phát triển bền vững.</w:t>
      </w:r>
    </w:p>
    <w:p w:rsidR="00CC5850" w:rsidRPr="006F315D" w:rsidRDefault="00DF3CB1" w:rsidP="00DF3E56">
      <w:pPr>
        <w:spacing w:before="60" w:after="60" w:line="264" w:lineRule="auto"/>
        <w:ind w:firstLine="720"/>
        <w:jc w:val="both"/>
        <w:rPr>
          <w:sz w:val="28"/>
          <w:szCs w:val="28"/>
          <w:lang w:val="pl-PL"/>
        </w:rPr>
      </w:pPr>
      <w:r w:rsidRPr="006F315D">
        <w:rPr>
          <w:sz w:val="28"/>
          <w:szCs w:val="28"/>
          <w:lang w:val="pl-PL"/>
        </w:rPr>
        <w:t xml:space="preserve">Thuế BVMT được hiểu đơn giản là việc các chủ thể gây ra ô nhiễm mỗi trường phải thanh toán những chi phí mà mình đã gây ra do làm tổn hại môi </w:t>
      </w:r>
      <w:r w:rsidRPr="006F315D">
        <w:rPr>
          <w:sz w:val="28"/>
          <w:szCs w:val="28"/>
          <w:lang w:val="pl-PL"/>
        </w:rPr>
        <w:lastRenderedPageBreak/>
        <w:t xml:space="preserve">trường. Vì vậy, đây là sắc thuế lấy nguyên tắc cơ bản của kinh tế thị trường làm cơ sở để đạt được sự hài hòa giữa phát triển kinh tế và BVMT (nguyên tắc người gây ô nhiễm phải trả). Đây cũng chính là </w:t>
      </w:r>
      <w:r w:rsidR="00AC0D38" w:rsidRPr="006F315D">
        <w:rPr>
          <w:sz w:val="28"/>
          <w:szCs w:val="28"/>
          <w:lang w:val="pl-PL"/>
        </w:rPr>
        <w:t xml:space="preserve">một trong những </w:t>
      </w:r>
      <w:r w:rsidRPr="006F315D">
        <w:rPr>
          <w:sz w:val="28"/>
          <w:szCs w:val="28"/>
          <w:lang w:val="pl-PL"/>
        </w:rPr>
        <w:t xml:space="preserve">công cụ có khả năng tốt nhất trong việc khắc phục những thất bại, khiếm khuyết của thị trường; </w:t>
      </w:r>
      <w:r w:rsidR="005C0724" w:rsidRPr="006F315D">
        <w:rPr>
          <w:sz w:val="28"/>
          <w:szCs w:val="28"/>
          <w:lang w:val="pl-PL"/>
        </w:rPr>
        <w:t>là công cụ có tính hiệu quả</w:t>
      </w:r>
      <w:r w:rsidR="00AC0D38" w:rsidRPr="006F315D">
        <w:rPr>
          <w:sz w:val="28"/>
          <w:szCs w:val="28"/>
          <w:lang w:val="pl-PL"/>
        </w:rPr>
        <w:t xml:space="preserve"> cao </w:t>
      </w:r>
      <w:r w:rsidR="005C0724" w:rsidRPr="006F315D">
        <w:rPr>
          <w:sz w:val="28"/>
          <w:szCs w:val="28"/>
          <w:lang w:val="pl-PL"/>
        </w:rPr>
        <w:t>trong việc thay đổi hành vi gây ô nhiễm, khuyến khích</w:t>
      </w:r>
      <w:r w:rsidR="006E6894">
        <w:rPr>
          <w:sz w:val="28"/>
          <w:szCs w:val="28"/>
          <w:lang w:val="pl-PL"/>
        </w:rPr>
        <w:t xml:space="preserve"> </w:t>
      </w:r>
      <w:r w:rsidR="006E6894" w:rsidRPr="006E6894">
        <w:rPr>
          <w:rFonts w:asciiTheme="majorHAnsi" w:hAnsiTheme="majorHAnsi" w:cstheme="majorHAnsi"/>
          <w:sz w:val="28"/>
          <w:szCs w:val="28"/>
          <w:lang w:val="nl-NL"/>
        </w:rPr>
        <w:t>“</w:t>
      </w:r>
      <w:r w:rsidR="005C0724" w:rsidRPr="006E6894">
        <w:rPr>
          <w:sz w:val="28"/>
          <w:szCs w:val="28"/>
          <w:lang w:val="pl-PL"/>
        </w:rPr>
        <w:t>sự năng động”</w:t>
      </w:r>
      <w:r w:rsidR="005C0724" w:rsidRPr="006F315D">
        <w:rPr>
          <w:sz w:val="28"/>
          <w:szCs w:val="28"/>
          <w:lang w:val="pl-PL"/>
        </w:rPr>
        <w:t xml:space="preserve"> và tính tự giác của người gây ô nhiễm trong việc BVMT. </w:t>
      </w:r>
    </w:p>
    <w:p w:rsidR="00871ED2" w:rsidRPr="006F315D" w:rsidRDefault="005C0724" w:rsidP="00DF3E56">
      <w:pPr>
        <w:spacing w:before="60" w:after="60" w:line="264" w:lineRule="auto"/>
        <w:ind w:firstLine="720"/>
        <w:jc w:val="both"/>
        <w:rPr>
          <w:sz w:val="28"/>
          <w:szCs w:val="28"/>
          <w:lang w:val="pl-PL"/>
        </w:rPr>
      </w:pPr>
      <w:r w:rsidRPr="006F315D">
        <w:rPr>
          <w:sz w:val="28"/>
          <w:szCs w:val="28"/>
          <w:lang w:val="pl-PL"/>
        </w:rPr>
        <w:t xml:space="preserve">Thuế BVMT đã tạo cơ hội và điều kiện để nhà sản xuất chuyển chi phí BVMT vào giá thành sản phẩm, tức là chuyển trách nhiệm BVMT gián tiếp vào người tiêu dùng, khuyến khích các nhà sản xuất đầu tư BVMT tương ứng với mức đầu tư phát triển sản xuất, đồng thời thay đổi hành vi của người tiêu dùng đối với hàng hóa thuộc đối tượng chịu thuế. </w:t>
      </w:r>
      <w:r w:rsidR="00664A60" w:rsidRPr="006F315D">
        <w:rPr>
          <w:bCs/>
          <w:sz w:val="28"/>
          <w:szCs w:val="28"/>
          <w:lang w:val="pl-PL"/>
        </w:rPr>
        <w:t xml:space="preserve">Ví dụ: việc quy định thu và áp dụng mức thu thuế BVMT cụ thể đối với </w:t>
      </w:r>
      <w:r w:rsidR="00664A60" w:rsidRPr="006F315D">
        <w:rPr>
          <w:sz w:val="28"/>
          <w:szCs w:val="28"/>
          <w:lang w:val="pl-PL"/>
        </w:rPr>
        <w:t>xăng dầu dẫn đến giá xăng dầu tăng, từ đó kích thích việc sử dụng xăng dầu tiết kiệm, hiệu quả hoặc sử dụng nhiên liệu, biện pháp thay thế thân thiện hơn với môi trường, góp phần giảm khí thải nhà kính, BVMT</w:t>
      </w:r>
      <w:r w:rsidR="00871ED2" w:rsidRPr="006F315D">
        <w:rPr>
          <w:sz w:val="28"/>
          <w:szCs w:val="28"/>
          <w:lang w:val="pl-PL"/>
        </w:rPr>
        <w:t xml:space="preserve"> (Nghiên cứu của </w:t>
      </w:r>
      <w:r w:rsidR="006D2650" w:rsidRPr="006F315D">
        <w:rPr>
          <w:sz w:val="28"/>
          <w:szCs w:val="28"/>
          <w:lang w:val="pl-PL"/>
        </w:rPr>
        <w:t>Chương trình Phát triển Liên hợp quốc (</w:t>
      </w:r>
      <w:r w:rsidR="00871ED2" w:rsidRPr="006F315D">
        <w:rPr>
          <w:sz w:val="28"/>
          <w:szCs w:val="28"/>
          <w:lang w:val="pl-PL"/>
        </w:rPr>
        <w:t>UNDP</w:t>
      </w:r>
      <w:r w:rsidR="006D2650" w:rsidRPr="006F315D">
        <w:rPr>
          <w:sz w:val="28"/>
          <w:szCs w:val="28"/>
          <w:lang w:val="pl-PL"/>
        </w:rPr>
        <w:t>)</w:t>
      </w:r>
      <w:r w:rsidR="00871ED2" w:rsidRPr="006F315D">
        <w:rPr>
          <w:sz w:val="28"/>
          <w:szCs w:val="28"/>
          <w:lang w:val="pl-PL"/>
        </w:rPr>
        <w:t xml:space="preserve"> năm 2017 cho thấy: việc áp dụng thuế BVMT đối với xăng dầu đã làm giảm lượng khí thải gây hiệu ứng nhà kính từ 5-15%).</w:t>
      </w:r>
    </w:p>
    <w:p w:rsidR="00D27BD8" w:rsidRPr="006F315D" w:rsidRDefault="00F51DF9" w:rsidP="00DF3E56">
      <w:pPr>
        <w:spacing w:before="60" w:after="60" w:line="264" w:lineRule="auto"/>
        <w:ind w:firstLine="720"/>
        <w:jc w:val="both"/>
        <w:rPr>
          <w:sz w:val="28"/>
          <w:szCs w:val="28"/>
          <w:lang w:val="pt-BR"/>
        </w:rPr>
      </w:pPr>
      <w:r w:rsidRPr="006F315D">
        <w:rPr>
          <w:sz w:val="28"/>
          <w:szCs w:val="28"/>
          <w:lang w:val="pl-PL"/>
        </w:rPr>
        <w:t xml:space="preserve">Như vậy, cùng với các </w:t>
      </w:r>
      <w:r w:rsidRPr="006F315D">
        <w:rPr>
          <w:rFonts w:asciiTheme="majorHAnsi" w:hAnsiTheme="majorHAnsi" w:cstheme="majorHAnsi"/>
          <w:bCs/>
          <w:sz w:val="28"/>
          <w:szCs w:val="28"/>
          <w:lang w:val="pt-BR"/>
        </w:rPr>
        <w:t xml:space="preserve">chính sách thu hiện hành liên quan đến BVMT (như phí BVMT, thuế </w:t>
      </w:r>
      <w:r w:rsidR="00880949" w:rsidRPr="006F315D">
        <w:rPr>
          <w:rFonts w:asciiTheme="majorHAnsi" w:hAnsiTheme="majorHAnsi" w:cstheme="majorHAnsi"/>
          <w:bCs/>
          <w:sz w:val="28"/>
          <w:szCs w:val="28"/>
          <w:lang w:val="pt-BR"/>
        </w:rPr>
        <w:t>thu nhập doanh nghiệp</w:t>
      </w:r>
      <w:r w:rsidRPr="006F315D">
        <w:rPr>
          <w:rFonts w:asciiTheme="majorHAnsi" w:hAnsiTheme="majorHAnsi" w:cstheme="majorHAnsi"/>
          <w:bCs/>
          <w:sz w:val="28"/>
          <w:szCs w:val="28"/>
          <w:lang w:val="pt-BR"/>
        </w:rPr>
        <w:t xml:space="preserve">, thuế </w:t>
      </w:r>
      <w:r w:rsidR="00880949" w:rsidRPr="006F315D">
        <w:rPr>
          <w:rFonts w:asciiTheme="majorHAnsi" w:hAnsiTheme="majorHAnsi" w:cstheme="majorHAnsi"/>
          <w:bCs/>
          <w:sz w:val="28"/>
          <w:szCs w:val="28"/>
          <w:lang w:val="pt-BR"/>
        </w:rPr>
        <w:t>tiêu thụ đặc biệt</w:t>
      </w:r>
      <w:r w:rsidRPr="006F315D">
        <w:rPr>
          <w:rFonts w:asciiTheme="majorHAnsi" w:hAnsiTheme="majorHAnsi" w:cstheme="majorHAnsi"/>
          <w:bCs/>
          <w:sz w:val="28"/>
          <w:szCs w:val="28"/>
          <w:lang w:val="pt-BR"/>
        </w:rPr>
        <w:t xml:space="preserve">, thuế </w:t>
      </w:r>
      <w:r w:rsidR="00880949" w:rsidRPr="006F315D">
        <w:rPr>
          <w:rFonts w:asciiTheme="majorHAnsi" w:hAnsiTheme="majorHAnsi" w:cstheme="majorHAnsi"/>
          <w:bCs/>
          <w:sz w:val="28"/>
          <w:szCs w:val="28"/>
          <w:lang w:val="pt-BR"/>
        </w:rPr>
        <w:t xml:space="preserve">xuất </w:t>
      </w:r>
      <w:r w:rsidR="000B45B0">
        <w:rPr>
          <w:rFonts w:asciiTheme="majorHAnsi" w:hAnsiTheme="majorHAnsi" w:cstheme="majorHAnsi"/>
          <w:bCs/>
          <w:sz w:val="28"/>
          <w:szCs w:val="28"/>
          <w:lang w:val="pt-BR"/>
        </w:rPr>
        <w:t>kh</w:t>
      </w:r>
      <w:r w:rsidR="000B45B0" w:rsidRPr="000B45B0">
        <w:rPr>
          <w:rFonts w:asciiTheme="majorHAnsi" w:hAnsiTheme="majorHAnsi" w:cstheme="majorHAnsi"/>
          <w:bCs/>
          <w:sz w:val="28"/>
          <w:szCs w:val="28"/>
          <w:lang w:val="pt-BR"/>
        </w:rPr>
        <w:t>ẩ</w:t>
      </w:r>
      <w:r w:rsidR="000B45B0">
        <w:rPr>
          <w:rFonts w:asciiTheme="majorHAnsi" w:hAnsiTheme="majorHAnsi" w:cstheme="majorHAnsi"/>
          <w:bCs/>
          <w:sz w:val="28"/>
          <w:szCs w:val="28"/>
          <w:lang w:val="pt-BR"/>
        </w:rPr>
        <w:t>u, thu</w:t>
      </w:r>
      <w:r w:rsidR="000B45B0" w:rsidRPr="000B45B0">
        <w:rPr>
          <w:rFonts w:asciiTheme="majorHAnsi" w:hAnsiTheme="majorHAnsi" w:cstheme="majorHAnsi"/>
          <w:bCs/>
          <w:sz w:val="28"/>
          <w:szCs w:val="28"/>
          <w:lang w:val="pt-BR"/>
        </w:rPr>
        <w:t>ế</w:t>
      </w:r>
      <w:r w:rsidR="000B45B0">
        <w:rPr>
          <w:rFonts w:asciiTheme="majorHAnsi" w:hAnsiTheme="majorHAnsi" w:cstheme="majorHAnsi"/>
          <w:bCs/>
          <w:sz w:val="28"/>
          <w:szCs w:val="28"/>
          <w:lang w:val="pt-BR"/>
        </w:rPr>
        <w:t xml:space="preserve"> </w:t>
      </w:r>
      <w:r w:rsidR="00880949" w:rsidRPr="006F315D">
        <w:rPr>
          <w:rFonts w:asciiTheme="majorHAnsi" w:hAnsiTheme="majorHAnsi" w:cstheme="majorHAnsi"/>
          <w:bCs/>
          <w:sz w:val="28"/>
          <w:szCs w:val="28"/>
          <w:lang w:val="pt-BR"/>
        </w:rPr>
        <w:t>nhập khẩu</w:t>
      </w:r>
      <w:r w:rsidRPr="006F315D">
        <w:rPr>
          <w:rFonts w:asciiTheme="majorHAnsi" w:hAnsiTheme="majorHAnsi" w:cstheme="majorHAnsi"/>
          <w:bCs/>
          <w:sz w:val="28"/>
          <w:szCs w:val="28"/>
          <w:lang w:val="pt-BR"/>
        </w:rPr>
        <w:t>,...), thuế BVMT có vai trò quan trọng</w:t>
      </w:r>
      <w:r w:rsidR="00D27BD8" w:rsidRPr="006F315D">
        <w:rPr>
          <w:rFonts w:asciiTheme="majorHAnsi" w:hAnsiTheme="majorHAnsi" w:cstheme="majorHAnsi"/>
          <w:bCs/>
          <w:sz w:val="28"/>
          <w:szCs w:val="28"/>
          <w:lang w:val="pt-BR"/>
        </w:rPr>
        <w:t xml:space="preserve"> trong BVMT, đáp ứng yêu cầu phát triển kinh tế bền vững, khuyến khích phát triển kinh tế đi liền giảm ô nhiễm môi trường, phù hợp với bối cảnh </w:t>
      </w:r>
      <w:r w:rsidR="000B45B0">
        <w:rPr>
          <w:rFonts w:asciiTheme="majorHAnsi" w:hAnsiTheme="majorHAnsi" w:cstheme="majorHAnsi"/>
          <w:bCs/>
          <w:sz w:val="28"/>
          <w:szCs w:val="28"/>
          <w:lang w:val="pt-BR"/>
        </w:rPr>
        <w:t>ph</w:t>
      </w:r>
      <w:r w:rsidR="000B45B0" w:rsidRPr="000B45B0">
        <w:rPr>
          <w:rFonts w:asciiTheme="majorHAnsi" w:hAnsiTheme="majorHAnsi" w:cstheme="majorHAnsi"/>
          <w:bCs/>
          <w:sz w:val="28"/>
          <w:szCs w:val="28"/>
          <w:lang w:val="pt-BR"/>
        </w:rPr>
        <w:t>át</w:t>
      </w:r>
      <w:r w:rsidR="000B45B0">
        <w:rPr>
          <w:rFonts w:asciiTheme="majorHAnsi" w:hAnsiTheme="majorHAnsi" w:cstheme="majorHAnsi"/>
          <w:bCs/>
          <w:sz w:val="28"/>
          <w:szCs w:val="28"/>
          <w:lang w:val="pt-BR"/>
        </w:rPr>
        <w:t xml:space="preserve"> tri</w:t>
      </w:r>
      <w:r w:rsidR="000B45B0" w:rsidRPr="000B45B0">
        <w:rPr>
          <w:rFonts w:asciiTheme="majorHAnsi" w:hAnsiTheme="majorHAnsi" w:cstheme="majorHAnsi"/>
          <w:bCs/>
          <w:sz w:val="28"/>
          <w:szCs w:val="28"/>
          <w:lang w:val="pt-BR"/>
        </w:rPr>
        <w:t>ể</w:t>
      </w:r>
      <w:r w:rsidR="000B45B0">
        <w:rPr>
          <w:rFonts w:asciiTheme="majorHAnsi" w:hAnsiTheme="majorHAnsi" w:cstheme="majorHAnsi"/>
          <w:bCs/>
          <w:sz w:val="28"/>
          <w:szCs w:val="28"/>
          <w:lang w:val="pt-BR"/>
        </w:rPr>
        <w:t xml:space="preserve">n </w:t>
      </w:r>
      <w:r w:rsidR="00D27BD8" w:rsidRPr="006F315D">
        <w:rPr>
          <w:rFonts w:asciiTheme="majorHAnsi" w:hAnsiTheme="majorHAnsi" w:cstheme="majorHAnsi"/>
          <w:bCs/>
          <w:sz w:val="28"/>
          <w:szCs w:val="28"/>
          <w:lang w:val="pt-BR"/>
        </w:rPr>
        <w:t>kinh tế - xã hội đất nước trong thời gian vừa qua và sắp tới.</w:t>
      </w:r>
    </w:p>
    <w:p w:rsidR="008F211E" w:rsidRPr="006F315D" w:rsidRDefault="00D27BD8" w:rsidP="00DF3E56">
      <w:pPr>
        <w:spacing w:before="60" w:after="60" w:line="264" w:lineRule="auto"/>
        <w:ind w:firstLine="720"/>
        <w:jc w:val="both"/>
        <w:rPr>
          <w:rFonts w:asciiTheme="majorHAnsi" w:hAnsiTheme="majorHAnsi" w:cstheme="majorHAnsi"/>
          <w:b/>
          <w:sz w:val="28"/>
          <w:szCs w:val="28"/>
          <w:lang w:val="nl-NL"/>
        </w:rPr>
      </w:pPr>
      <w:r w:rsidRPr="006F315D">
        <w:rPr>
          <w:b/>
          <w:sz w:val="28"/>
          <w:szCs w:val="28"/>
          <w:lang w:val="pt-BR"/>
        </w:rPr>
        <w:t>3.</w:t>
      </w:r>
      <w:r w:rsidR="0075077D" w:rsidRPr="006F315D">
        <w:rPr>
          <w:rFonts w:asciiTheme="majorHAnsi" w:hAnsiTheme="majorHAnsi" w:cstheme="majorHAnsi"/>
          <w:b/>
          <w:sz w:val="28"/>
          <w:szCs w:val="28"/>
          <w:lang w:val="nb-NO"/>
        </w:rPr>
        <w:t xml:space="preserve"> Đảm bảo </w:t>
      </w:r>
      <w:r w:rsidR="0075077D" w:rsidRPr="006F315D">
        <w:rPr>
          <w:rFonts w:asciiTheme="majorHAnsi" w:hAnsiTheme="majorHAnsi" w:cstheme="majorHAnsi"/>
          <w:b/>
          <w:sz w:val="28"/>
          <w:szCs w:val="28"/>
          <w:lang w:val="nl-NL"/>
        </w:rPr>
        <w:t>ứng phó kịp thời với diễn biến giá dầu trên thị trường thế giới; đảm bảo lợi ích quốc gia trong điều kiện hội nhập sâu khi thực hiện cắt giảm dần thuế nhập khẩu theo các cam kết quốc tế</w:t>
      </w:r>
    </w:p>
    <w:p w:rsidR="001407A0" w:rsidRPr="006F315D" w:rsidRDefault="00CC5850" w:rsidP="00DF3E56">
      <w:pPr>
        <w:pStyle w:val="BodyText3"/>
        <w:spacing w:before="60" w:after="60" w:line="264" w:lineRule="auto"/>
        <w:ind w:firstLine="691"/>
        <w:rPr>
          <w:color w:val="auto"/>
          <w:szCs w:val="28"/>
          <w:lang w:val="nl-NL"/>
        </w:rPr>
      </w:pPr>
      <w:r w:rsidRPr="006F315D">
        <w:rPr>
          <w:color w:val="auto"/>
          <w:szCs w:val="28"/>
          <w:lang w:val="nl-NL"/>
        </w:rPr>
        <w:t>V</w:t>
      </w:r>
      <w:r w:rsidR="001407A0" w:rsidRPr="006F315D">
        <w:rPr>
          <w:color w:val="auto"/>
          <w:szCs w:val="28"/>
          <w:lang w:val="nl-NL"/>
        </w:rPr>
        <w:t xml:space="preserve">iệc </w:t>
      </w:r>
      <w:r w:rsidRPr="006F315D">
        <w:rPr>
          <w:color w:val="auto"/>
          <w:szCs w:val="28"/>
          <w:lang w:val="nl-NL"/>
        </w:rPr>
        <w:t>quy định mức</w:t>
      </w:r>
      <w:r w:rsidR="001407A0" w:rsidRPr="006F315D">
        <w:rPr>
          <w:color w:val="auto"/>
          <w:szCs w:val="28"/>
          <w:lang w:val="nl-NL"/>
        </w:rPr>
        <w:t xml:space="preserve"> thuế BVMT đối với xăng dầu </w:t>
      </w:r>
      <w:r w:rsidRPr="006F315D">
        <w:rPr>
          <w:color w:val="auto"/>
          <w:szCs w:val="28"/>
          <w:lang w:val="nl-NL"/>
        </w:rPr>
        <w:t>trong thời gian qua</w:t>
      </w:r>
      <w:r w:rsidR="005A4873" w:rsidRPr="006F315D">
        <w:rPr>
          <w:color w:val="auto"/>
          <w:szCs w:val="28"/>
          <w:lang w:val="pt-BR"/>
        </w:rPr>
        <w:t xml:space="preserve"> </w:t>
      </w:r>
      <w:r w:rsidR="001407A0" w:rsidRPr="006F315D">
        <w:rPr>
          <w:color w:val="auto"/>
          <w:szCs w:val="28"/>
          <w:lang w:val="nl-NL"/>
        </w:rPr>
        <w:t>là</w:t>
      </w:r>
      <w:r w:rsidR="006C41E7" w:rsidRPr="006F315D">
        <w:rPr>
          <w:color w:val="auto"/>
          <w:szCs w:val="28"/>
          <w:lang w:val="nl-NL"/>
        </w:rPr>
        <w:t xml:space="preserve"> để</w:t>
      </w:r>
      <w:r w:rsidR="001407A0" w:rsidRPr="006F315D">
        <w:rPr>
          <w:color w:val="auto"/>
          <w:szCs w:val="28"/>
          <w:lang w:val="nl-NL"/>
        </w:rPr>
        <w:t xml:space="preserve">: </w:t>
      </w:r>
    </w:p>
    <w:p w:rsidR="00CC5850" w:rsidRPr="006F315D" w:rsidRDefault="001407A0" w:rsidP="00DF3E56">
      <w:pPr>
        <w:pStyle w:val="BodyText3"/>
        <w:spacing w:before="60" w:after="60" w:line="264" w:lineRule="auto"/>
        <w:ind w:firstLine="691"/>
        <w:rPr>
          <w:color w:val="auto"/>
          <w:szCs w:val="28"/>
          <w:lang w:val="nl-NL"/>
        </w:rPr>
      </w:pPr>
      <w:r w:rsidRPr="006F315D">
        <w:rPr>
          <w:color w:val="auto"/>
          <w:szCs w:val="28"/>
          <w:lang w:val="nl-NL"/>
        </w:rPr>
        <w:t xml:space="preserve">- </w:t>
      </w:r>
      <w:r w:rsidR="006F5F73" w:rsidRPr="006F315D">
        <w:rPr>
          <w:color w:val="auto"/>
          <w:szCs w:val="28"/>
          <w:lang w:val="nl-NL"/>
        </w:rPr>
        <w:t>Đảm bảo</w:t>
      </w:r>
      <w:r w:rsidRPr="006F315D">
        <w:rPr>
          <w:color w:val="auto"/>
          <w:szCs w:val="28"/>
          <w:lang w:val="nl-NL"/>
        </w:rPr>
        <w:t xml:space="preserve"> nguyên tắc quy định mức thuế BVMT cụ thể</w:t>
      </w:r>
      <w:r w:rsidR="00E71030" w:rsidRPr="006F315D">
        <w:rPr>
          <w:color w:val="auto"/>
          <w:szCs w:val="28"/>
          <w:lang w:val="nl-NL"/>
        </w:rPr>
        <w:t xml:space="preserve"> quy định tại Luật thuế BVMT</w:t>
      </w:r>
      <w:r w:rsidRPr="006F315D">
        <w:rPr>
          <w:color w:val="auto"/>
          <w:szCs w:val="28"/>
          <w:lang w:val="nl-NL"/>
        </w:rPr>
        <w:t xml:space="preserve">, đó là </w:t>
      </w:r>
      <w:r w:rsidR="00E75147" w:rsidRPr="006F315D">
        <w:rPr>
          <w:color w:val="auto"/>
          <w:szCs w:val="28"/>
          <w:lang w:val="nl-NL"/>
        </w:rPr>
        <w:t>phù hợp với điều kiện kinh tế - xã hội từng thời kỳ (đ</w:t>
      </w:r>
      <w:r w:rsidR="00E75147" w:rsidRPr="006F315D">
        <w:rPr>
          <w:rFonts w:asciiTheme="majorHAnsi" w:hAnsiTheme="majorHAnsi" w:cstheme="majorHAnsi"/>
          <w:color w:val="auto"/>
          <w:szCs w:val="28"/>
          <w:lang w:val="nb-NO"/>
        </w:rPr>
        <w:t xml:space="preserve">ảm bảo </w:t>
      </w:r>
      <w:r w:rsidR="00E75147" w:rsidRPr="006F315D">
        <w:rPr>
          <w:rFonts w:asciiTheme="majorHAnsi" w:hAnsiTheme="majorHAnsi" w:cstheme="majorHAnsi"/>
          <w:color w:val="auto"/>
          <w:szCs w:val="28"/>
          <w:lang w:val="nl-NL"/>
        </w:rPr>
        <w:t>ứng phó kịp thời với diễn biến giá dầu trên thị trường thế giới; đảm bảo lợi ích quốc gia trong điều kiện hội nhập sâu khi thực hiện cắt giảm dần thuế nhập khẩu theo các cam kết quốc tế) và đ</w:t>
      </w:r>
      <w:r w:rsidRPr="006F315D">
        <w:rPr>
          <w:color w:val="auto"/>
          <w:szCs w:val="28"/>
          <w:lang w:val="nl-NL"/>
        </w:rPr>
        <w:t xml:space="preserve">ược xác định </w:t>
      </w:r>
      <w:r w:rsidR="002342F6" w:rsidRPr="006F315D">
        <w:rPr>
          <w:color w:val="auto"/>
          <w:szCs w:val="28"/>
          <w:lang w:val="nl-NL"/>
        </w:rPr>
        <w:t>dựa trên</w:t>
      </w:r>
      <w:r w:rsidRPr="006F315D">
        <w:rPr>
          <w:color w:val="auto"/>
          <w:szCs w:val="28"/>
          <w:lang w:val="nl-NL"/>
        </w:rPr>
        <w:t xml:space="preserve"> mức độ gây tác động xấu đến môi trường của xăng dầu (xăng dầu là sản phẩm chứa các chất hóa học, gây ảnh hưởng xấu đến môi trường ở diện rộng, do đó, cần quy địn</w:t>
      </w:r>
      <w:r w:rsidR="00DF310E" w:rsidRPr="006F315D">
        <w:rPr>
          <w:color w:val="auto"/>
          <w:szCs w:val="28"/>
          <w:lang w:val="nl-NL"/>
        </w:rPr>
        <w:t>h mức thuế cao đối với xăng dầu</w:t>
      </w:r>
      <w:r w:rsidR="00615019">
        <w:rPr>
          <w:color w:val="auto"/>
          <w:szCs w:val="28"/>
          <w:lang w:val="nl-NL"/>
        </w:rPr>
        <w:t>)</w:t>
      </w:r>
      <w:r w:rsidR="00DF310E" w:rsidRPr="006F315D">
        <w:rPr>
          <w:color w:val="auto"/>
          <w:szCs w:val="28"/>
          <w:lang w:val="nl-NL"/>
        </w:rPr>
        <w:t xml:space="preserve">. </w:t>
      </w:r>
    </w:p>
    <w:p w:rsidR="00A0488F" w:rsidRPr="006F315D" w:rsidRDefault="00A0488F" w:rsidP="00DF3E56">
      <w:pPr>
        <w:pStyle w:val="BodyText3"/>
        <w:spacing w:before="60" w:after="60" w:line="264" w:lineRule="auto"/>
        <w:ind w:firstLine="691"/>
        <w:rPr>
          <w:color w:val="auto"/>
          <w:szCs w:val="28"/>
          <w:lang w:val="nl-NL"/>
        </w:rPr>
      </w:pPr>
      <w:r w:rsidRPr="006F315D">
        <w:rPr>
          <w:color w:val="auto"/>
          <w:szCs w:val="28"/>
          <w:lang w:val="nl-NL"/>
        </w:rPr>
        <w:t xml:space="preserve">- Là </w:t>
      </w:r>
      <w:r w:rsidRPr="006F315D">
        <w:rPr>
          <w:rFonts w:eastAsia="MS Mincho"/>
          <w:color w:val="auto"/>
          <w:szCs w:val="28"/>
          <w:lang w:val="pt-BR" w:eastAsia="ja-JP"/>
        </w:rPr>
        <w:t>giải pháp có tính khả thi cao nhằm góp phần khuyến khích người dân sử dụng sản phẩm thân thiện với môi trường và đ</w:t>
      </w:r>
      <w:r w:rsidRPr="006F315D">
        <w:rPr>
          <w:color w:val="auto"/>
          <w:szCs w:val="28"/>
          <w:lang w:val="nl-NL"/>
        </w:rPr>
        <w:t xml:space="preserve">ảm bảo giá bán lẻ xăng </w:t>
      </w:r>
      <w:r w:rsidRPr="006F315D">
        <w:rPr>
          <w:color w:val="auto"/>
          <w:szCs w:val="28"/>
          <w:lang w:val="nl-NL"/>
        </w:rPr>
        <w:lastRenderedPageBreak/>
        <w:t>dầu của Việt Nam tương đồng với giá bán lẻ xăng dầu của các nước trong khu vực</w:t>
      </w:r>
      <w:r w:rsidRPr="006F315D">
        <w:rPr>
          <w:color w:val="auto"/>
          <w:szCs w:val="28"/>
          <w:lang w:val="vi-VN"/>
        </w:rPr>
        <w:t xml:space="preserve">. </w:t>
      </w:r>
    </w:p>
    <w:p w:rsidR="001407A0" w:rsidRPr="006F315D" w:rsidRDefault="004C5146" w:rsidP="00DF3E56">
      <w:pPr>
        <w:pStyle w:val="BodyText3"/>
        <w:spacing w:before="60" w:after="60" w:line="264" w:lineRule="auto"/>
        <w:ind w:firstLine="691"/>
        <w:rPr>
          <w:color w:val="auto"/>
          <w:szCs w:val="28"/>
          <w:lang w:val="nl-NL"/>
        </w:rPr>
      </w:pPr>
      <w:r w:rsidRPr="006F315D">
        <w:rPr>
          <w:color w:val="auto"/>
          <w:szCs w:val="28"/>
          <w:lang w:val="nl-NL"/>
        </w:rPr>
        <w:t xml:space="preserve">Việc điều chỉnh tăng thuế BVMT đối với xăng dầu theo </w:t>
      </w:r>
      <w:r w:rsidRPr="006F315D">
        <w:rPr>
          <w:color w:val="auto"/>
          <w:szCs w:val="28"/>
          <w:lang w:val="pt-BR"/>
        </w:rPr>
        <w:t>Nghị quyết số 888a/2015/UBTVQH13 k</w:t>
      </w:r>
      <w:r w:rsidRPr="006F315D">
        <w:rPr>
          <w:color w:val="auto"/>
          <w:szCs w:val="28"/>
          <w:lang w:val="nl-NL"/>
        </w:rPr>
        <w:t>hông làm tăng giá xăng</w:t>
      </w:r>
      <w:r w:rsidR="001407A0" w:rsidRPr="006F315D">
        <w:rPr>
          <w:color w:val="auto"/>
          <w:szCs w:val="28"/>
          <w:lang w:val="nl-NL"/>
        </w:rPr>
        <w:t xml:space="preserve"> dầu trong nước khi cùng một mặt bằng giá xăng dầu thế giới, </w:t>
      </w:r>
      <w:r w:rsidR="001407A0" w:rsidRPr="006F315D">
        <w:rPr>
          <w:color w:val="auto"/>
          <w:szCs w:val="28"/>
          <w:lang w:val="sv-SE"/>
        </w:rPr>
        <w:t>c</w:t>
      </w:r>
      <w:r w:rsidR="001407A0" w:rsidRPr="006F315D">
        <w:rPr>
          <w:color w:val="auto"/>
          <w:szCs w:val="28"/>
          <w:lang w:val="nl-NL"/>
        </w:rPr>
        <w:t>ơ cấu thuế trong giá xăng dầu không tăng (mức tăng thuế BVMT như trên vẫn thấp hơn mức thuế nhập khẩu giảm do</w:t>
      </w:r>
      <w:r w:rsidR="001407A0" w:rsidRPr="006F315D">
        <w:rPr>
          <w:color w:val="auto"/>
          <w:szCs w:val="28"/>
          <w:lang w:val="sv-SE"/>
        </w:rPr>
        <w:t xml:space="preserve"> </w:t>
      </w:r>
      <w:r w:rsidR="001407A0" w:rsidRPr="006F315D">
        <w:rPr>
          <w:color w:val="auto"/>
          <w:szCs w:val="28"/>
          <w:lang w:val="nl-NL"/>
        </w:rPr>
        <w:t>thực hiện</w:t>
      </w:r>
      <w:r w:rsidR="001407A0" w:rsidRPr="006F315D">
        <w:rPr>
          <w:color w:val="auto"/>
          <w:szCs w:val="28"/>
          <w:lang w:val="sv-SE"/>
        </w:rPr>
        <w:t xml:space="preserve"> theo các cam kết quốc tế)</w:t>
      </w:r>
      <w:r w:rsidR="001407A0" w:rsidRPr="006F315D">
        <w:rPr>
          <w:color w:val="auto"/>
          <w:szCs w:val="28"/>
          <w:lang w:val="nl-NL"/>
        </w:rPr>
        <w:t>, do đó việc tăng thuế BVMT sẽ không ảnh hưởng tới cơ cấu giá bán lẻ xăng dầu trong nước.</w:t>
      </w:r>
    </w:p>
    <w:p w:rsidR="00A44DBE" w:rsidRPr="006F315D" w:rsidRDefault="00D27BD8" w:rsidP="00DF3E56">
      <w:pPr>
        <w:pStyle w:val="BodyText3"/>
        <w:spacing w:before="60" w:after="60" w:line="264" w:lineRule="auto"/>
        <w:ind w:firstLine="691"/>
        <w:rPr>
          <w:rFonts w:asciiTheme="majorHAnsi" w:hAnsiTheme="majorHAnsi" w:cstheme="majorHAnsi"/>
          <w:b/>
          <w:bCs/>
          <w:color w:val="auto"/>
          <w:szCs w:val="28"/>
          <w:lang w:val="pt-BR"/>
        </w:rPr>
      </w:pPr>
      <w:r w:rsidRPr="006F315D">
        <w:rPr>
          <w:rFonts w:asciiTheme="majorHAnsi" w:hAnsiTheme="majorHAnsi" w:cstheme="majorHAnsi"/>
          <w:b/>
          <w:color w:val="auto"/>
          <w:szCs w:val="28"/>
          <w:lang w:val="pl-PL"/>
        </w:rPr>
        <w:t xml:space="preserve">4. </w:t>
      </w:r>
      <w:r w:rsidR="0075077D" w:rsidRPr="006F315D">
        <w:rPr>
          <w:rFonts w:asciiTheme="majorHAnsi" w:hAnsiTheme="majorHAnsi" w:cstheme="majorHAnsi"/>
          <w:b/>
          <w:color w:val="auto"/>
          <w:szCs w:val="28"/>
          <w:lang w:val="am-ET" w:eastAsia="vi-VN"/>
        </w:rPr>
        <w:t>Đ</w:t>
      </w:r>
      <w:r w:rsidR="0075077D" w:rsidRPr="006F315D">
        <w:rPr>
          <w:rFonts w:asciiTheme="majorHAnsi" w:eastAsia="Arial" w:hAnsiTheme="majorHAnsi" w:cstheme="majorHAnsi"/>
          <w:b/>
          <w:color w:val="auto"/>
          <w:szCs w:val="28"/>
          <w:lang w:val="pt-BR"/>
        </w:rPr>
        <w:t>ộng viên hợp lý đóng góp của xã hội</w:t>
      </w:r>
      <w:r w:rsidR="001F042F" w:rsidRPr="006F315D">
        <w:rPr>
          <w:rFonts w:asciiTheme="majorHAnsi" w:eastAsia="Arial" w:hAnsiTheme="majorHAnsi" w:cstheme="majorHAnsi"/>
          <w:b/>
          <w:color w:val="auto"/>
          <w:szCs w:val="28"/>
          <w:lang w:val="pt-BR"/>
        </w:rPr>
        <w:t xml:space="preserve"> vào</w:t>
      </w:r>
      <w:r w:rsidR="0075077D" w:rsidRPr="006F315D">
        <w:rPr>
          <w:rFonts w:asciiTheme="majorHAnsi" w:hAnsiTheme="majorHAnsi" w:cstheme="majorHAnsi"/>
          <w:b/>
          <w:color w:val="auto"/>
          <w:szCs w:val="28"/>
          <w:lang w:val="nl-NL"/>
        </w:rPr>
        <w:t xml:space="preserve"> NSNN </w:t>
      </w:r>
      <w:r w:rsidR="0075077D" w:rsidRPr="006F315D">
        <w:rPr>
          <w:rFonts w:asciiTheme="majorHAnsi" w:hAnsiTheme="majorHAnsi" w:cstheme="majorHAnsi"/>
          <w:b/>
          <w:bCs/>
          <w:color w:val="auto"/>
          <w:szCs w:val="28"/>
          <w:lang w:val="pt-BR"/>
        </w:rPr>
        <w:t>để thực hiện các nhiệm vụ kinh tế - xã hội của đất nước, tr</w:t>
      </w:r>
      <w:r w:rsidRPr="006F315D">
        <w:rPr>
          <w:rFonts w:asciiTheme="majorHAnsi" w:hAnsiTheme="majorHAnsi" w:cstheme="majorHAnsi"/>
          <w:b/>
          <w:bCs/>
          <w:color w:val="auto"/>
          <w:szCs w:val="28"/>
          <w:lang w:val="pt-BR"/>
        </w:rPr>
        <w:t>ong đó có nhiệm vụ chi cho BVMT</w:t>
      </w:r>
    </w:p>
    <w:p w:rsidR="00CC5850" w:rsidRPr="006F315D" w:rsidRDefault="00DF310E" w:rsidP="00DF3E56">
      <w:pPr>
        <w:pStyle w:val="BodyText3"/>
        <w:spacing w:before="60" w:after="60" w:line="264" w:lineRule="auto"/>
        <w:ind w:firstLine="691"/>
        <w:rPr>
          <w:rFonts w:asciiTheme="majorHAnsi" w:hAnsiTheme="majorHAnsi" w:cstheme="majorHAnsi"/>
          <w:color w:val="auto"/>
          <w:szCs w:val="28"/>
          <w:lang w:val="pt-BR"/>
        </w:rPr>
      </w:pPr>
      <w:r w:rsidRPr="006F315D">
        <w:rPr>
          <w:rFonts w:asciiTheme="majorHAnsi" w:hAnsiTheme="majorHAnsi" w:cstheme="majorHAnsi"/>
          <w:bCs/>
          <w:color w:val="auto"/>
          <w:szCs w:val="28"/>
          <w:lang w:val="pt-BR"/>
        </w:rPr>
        <w:t>Cùng với các chính s</w:t>
      </w:r>
      <w:r w:rsidR="005C0724" w:rsidRPr="006F315D">
        <w:rPr>
          <w:rFonts w:asciiTheme="majorHAnsi" w:hAnsiTheme="majorHAnsi" w:cstheme="majorHAnsi"/>
          <w:bCs/>
          <w:color w:val="auto"/>
          <w:szCs w:val="28"/>
          <w:lang w:val="pt-BR"/>
        </w:rPr>
        <w:t>ách thu hiện hành liên quan đến</w:t>
      </w:r>
      <w:r w:rsidR="008D282D" w:rsidRPr="006F315D">
        <w:rPr>
          <w:rFonts w:asciiTheme="majorHAnsi" w:hAnsiTheme="majorHAnsi" w:cstheme="majorHAnsi"/>
          <w:bCs/>
          <w:color w:val="auto"/>
          <w:szCs w:val="28"/>
          <w:lang w:val="pt-BR"/>
        </w:rPr>
        <w:t xml:space="preserve"> BVMT</w:t>
      </w:r>
      <w:r w:rsidRPr="006F315D">
        <w:rPr>
          <w:rFonts w:asciiTheme="majorHAnsi" w:hAnsiTheme="majorHAnsi" w:cstheme="majorHAnsi"/>
          <w:bCs/>
          <w:color w:val="auto"/>
          <w:szCs w:val="28"/>
          <w:lang w:val="pt-BR"/>
        </w:rPr>
        <w:t xml:space="preserve">, thuế BVMT </w:t>
      </w:r>
      <w:r w:rsidR="00E52749" w:rsidRPr="006F315D">
        <w:rPr>
          <w:rFonts w:asciiTheme="majorHAnsi" w:hAnsiTheme="majorHAnsi" w:cstheme="majorHAnsi"/>
          <w:bCs/>
          <w:color w:val="auto"/>
          <w:szCs w:val="28"/>
          <w:lang w:val="pt-BR"/>
        </w:rPr>
        <w:t>góp phần động viên sự đóng góp hợp lý của xã hội vào</w:t>
      </w:r>
      <w:r w:rsidRPr="006F315D">
        <w:rPr>
          <w:rFonts w:asciiTheme="majorHAnsi" w:hAnsiTheme="majorHAnsi" w:cstheme="majorHAnsi"/>
          <w:bCs/>
          <w:color w:val="auto"/>
          <w:szCs w:val="28"/>
          <w:lang w:val="pt-BR"/>
        </w:rPr>
        <w:t xml:space="preserve"> NSNN</w:t>
      </w:r>
      <w:r w:rsidR="008264DF" w:rsidRPr="006F315D">
        <w:rPr>
          <w:rFonts w:asciiTheme="majorHAnsi" w:hAnsiTheme="majorHAnsi" w:cstheme="majorHAnsi"/>
          <w:bCs/>
          <w:color w:val="auto"/>
          <w:szCs w:val="28"/>
          <w:lang w:val="pt-BR"/>
        </w:rPr>
        <w:t xml:space="preserve"> để thực hiện các nhiệm vụ kinh tế - xã hội của đất nước, trong đó có</w:t>
      </w:r>
      <w:r w:rsidRPr="006F315D">
        <w:rPr>
          <w:rFonts w:asciiTheme="majorHAnsi" w:hAnsiTheme="majorHAnsi" w:cstheme="majorHAnsi"/>
          <w:bCs/>
          <w:color w:val="auto"/>
          <w:szCs w:val="28"/>
          <w:lang w:val="pt-BR"/>
        </w:rPr>
        <w:t xml:space="preserve"> chi giải quyết các vấn đề môi trường, </w:t>
      </w:r>
      <w:r w:rsidRPr="006F315D">
        <w:rPr>
          <w:rFonts w:asciiTheme="majorHAnsi" w:hAnsiTheme="majorHAnsi" w:cstheme="majorHAnsi"/>
          <w:color w:val="auto"/>
          <w:szCs w:val="28"/>
          <w:lang w:val="pt-BR"/>
        </w:rPr>
        <w:t>giúp giảm bớt gánh nặng tài chính cho Nhà nước trong việc quản lý và BVMT. Cụ thể:</w:t>
      </w:r>
    </w:p>
    <w:p w:rsidR="00A44DBE" w:rsidRPr="006F315D" w:rsidRDefault="00DF310E" w:rsidP="00DF3E56">
      <w:pPr>
        <w:pStyle w:val="BodyText3"/>
        <w:spacing w:before="60" w:after="60" w:line="264" w:lineRule="auto"/>
        <w:ind w:firstLine="691"/>
        <w:rPr>
          <w:rFonts w:asciiTheme="majorHAnsi" w:hAnsiTheme="majorHAnsi" w:cstheme="majorHAnsi"/>
          <w:color w:val="auto"/>
          <w:szCs w:val="28"/>
          <w:lang w:val="pt-BR"/>
        </w:rPr>
      </w:pPr>
      <w:r w:rsidRPr="006F315D">
        <w:rPr>
          <w:rFonts w:asciiTheme="majorHAnsi" w:hAnsiTheme="majorHAnsi" w:cstheme="majorHAnsi"/>
          <w:color w:val="auto"/>
          <w:szCs w:val="28"/>
          <w:lang w:val="pt-BR"/>
        </w:rPr>
        <w:t xml:space="preserve">a) Thuế BVMT </w:t>
      </w:r>
      <w:r w:rsidR="00E52749" w:rsidRPr="006F315D">
        <w:rPr>
          <w:rFonts w:asciiTheme="majorHAnsi" w:hAnsiTheme="majorHAnsi" w:cstheme="majorHAnsi"/>
          <w:color w:val="auto"/>
          <w:szCs w:val="28"/>
          <w:lang w:val="pt-BR"/>
        </w:rPr>
        <w:t>động viên hợp lý sự đóng góp của xã hội vào</w:t>
      </w:r>
      <w:r w:rsidRPr="006F315D">
        <w:rPr>
          <w:rFonts w:asciiTheme="majorHAnsi" w:hAnsiTheme="majorHAnsi" w:cstheme="majorHAnsi"/>
          <w:color w:val="auto"/>
          <w:szCs w:val="28"/>
          <w:lang w:val="pt-BR"/>
        </w:rPr>
        <w:t xml:space="preserve"> NSNN</w:t>
      </w:r>
    </w:p>
    <w:p w:rsidR="00A44DBE" w:rsidRPr="006F315D" w:rsidRDefault="00DF310E" w:rsidP="00DF3E56">
      <w:pPr>
        <w:pStyle w:val="BodyText3"/>
        <w:spacing w:before="60" w:after="60" w:line="264" w:lineRule="auto"/>
        <w:ind w:firstLine="691"/>
        <w:rPr>
          <w:rFonts w:asciiTheme="majorHAnsi" w:hAnsiTheme="majorHAnsi" w:cstheme="majorHAnsi"/>
          <w:color w:val="auto"/>
          <w:szCs w:val="28"/>
          <w:shd w:val="clear" w:color="auto" w:fill="FFFFFF"/>
          <w:lang w:val="pt-BR"/>
        </w:rPr>
      </w:pPr>
      <w:r w:rsidRPr="006F315D">
        <w:rPr>
          <w:rFonts w:asciiTheme="majorHAnsi" w:hAnsiTheme="majorHAnsi" w:cstheme="majorHAnsi"/>
          <w:color w:val="auto"/>
          <w:szCs w:val="28"/>
          <w:shd w:val="clear" w:color="auto" w:fill="FFFFFF"/>
          <w:lang w:val="pt-BR"/>
        </w:rPr>
        <w:t>Trong bối cảnh kinh tế thế giới diễn biến phức tạp, tăng trưởng kinh tế trong nước gặp nhiều khó khăn ảnh hưởng tiêu cực đến tình hình thu - chi và thực hiện cân đối NSNN giai đoạn 2012-</w:t>
      </w:r>
      <w:r w:rsidR="00A44DBE" w:rsidRPr="006F315D">
        <w:rPr>
          <w:rFonts w:asciiTheme="majorHAnsi" w:hAnsiTheme="majorHAnsi" w:cstheme="majorHAnsi"/>
          <w:color w:val="auto"/>
          <w:szCs w:val="28"/>
          <w:shd w:val="clear" w:color="auto" w:fill="FFFFFF"/>
          <w:lang w:val="pt-BR"/>
        </w:rPr>
        <w:t>2017</w:t>
      </w:r>
      <w:r w:rsidRPr="006F315D">
        <w:rPr>
          <w:rFonts w:asciiTheme="majorHAnsi" w:hAnsiTheme="majorHAnsi" w:cstheme="majorHAnsi"/>
          <w:color w:val="auto"/>
          <w:szCs w:val="28"/>
          <w:shd w:val="clear" w:color="auto" w:fill="FFFFFF"/>
          <w:lang w:val="pt-BR"/>
        </w:rPr>
        <w:t>, nhiều giải pháp đã được thực hiện nhằm tăng cường huy động cho ngân sách, trong đó có thuế BVMT.</w:t>
      </w:r>
    </w:p>
    <w:p w:rsidR="00DF310E" w:rsidRPr="006F315D" w:rsidRDefault="00E22416" w:rsidP="00DF3E56">
      <w:pPr>
        <w:pStyle w:val="BodyText3"/>
        <w:spacing w:before="60" w:after="60" w:line="264" w:lineRule="auto"/>
        <w:ind w:firstLine="691"/>
        <w:rPr>
          <w:rFonts w:asciiTheme="majorHAnsi" w:hAnsiTheme="majorHAnsi" w:cstheme="majorHAnsi"/>
          <w:color w:val="auto"/>
          <w:szCs w:val="28"/>
          <w:lang w:val="pt-BR"/>
        </w:rPr>
      </w:pPr>
      <w:r w:rsidRPr="006F315D">
        <w:rPr>
          <w:rFonts w:asciiTheme="majorHAnsi" w:hAnsiTheme="majorHAnsi" w:cstheme="majorHAnsi"/>
          <w:color w:val="auto"/>
          <w:szCs w:val="28"/>
          <w:lang w:val="pt-BR"/>
        </w:rPr>
        <w:t>K</w:t>
      </w:r>
      <w:r w:rsidR="00DF310E" w:rsidRPr="006F315D">
        <w:rPr>
          <w:rFonts w:asciiTheme="majorHAnsi" w:hAnsiTheme="majorHAnsi" w:cstheme="majorHAnsi"/>
          <w:color w:val="auto"/>
          <w:szCs w:val="28"/>
          <w:lang w:val="pt-BR"/>
        </w:rPr>
        <w:t>ết quả thực hiện thu thuế BVMT trong giai đoạn 2012-201</w:t>
      </w:r>
      <w:r w:rsidR="00A44DBE" w:rsidRPr="006F315D">
        <w:rPr>
          <w:rFonts w:asciiTheme="majorHAnsi" w:hAnsiTheme="majorHAnsi" w:cstheme="majorHAnsi"/>
          <w:color w:val="auto"/>
          <w:szCs w:val="28"/>
          <w:lang w:val="pt-BR"/>
        </w:rPr>
        <w:t>7</w:t>
      </w:r>
      <w:r w:rsidR="00DF310E" w:rsidRPr="006F315D">
        <w:rPr>
          <w:rFonts w:asciiTheme="majorHAnsi" w:hAnsiTheme="majorHAnsi" w:cstheme="majorHAnsi"/>
          <w:color w:val="auto"/>
          <w:szCs w:val="28"/>
          <w:lang w:val="pt-BR"/>
        </w:rPr>
        <w:t xml:space="preserve"> được thể hiện tại Biểu </w:t>
      </w:r>
      <w:r w:rsidRPr="006F315D">
        <w:rPr>
          <w:rFonts w:asciiTheme="majorHAnsi" w:hAnsiTheme="majorHAnsi" w:cstheme="majorHAnsi"/>
          <w:color w:val="auto"/>
          <w:szCs w:val="28"/>
          <w:lang w:val="pt-BR"/>
        </w:rPr>
        <w:t>dưới đây:</w:t>
      </w:r>
    </w:p>
    <w:p w:rsidR="00DF3E56" w:rsidRPr="00615019" w:rsidRDefault="00DF3E56" w:rsidP="00DF3E56">
      <w:pPr>
        <w:pStyle w:val="BodyText3"/>
        <w:spacing w:before="60" w:after="60" w:line="264" w:lineRule="auto"/>
        <w:ind w:firstLine="691"/>
        <w:rPr>
          <w:color w:val="auto"/>
          <w:sz w:val="12"/>
          <w:szCs w:val="28"/>
          <w:lang w:val="nl-NL"/>
        </w:rPr>
      </w:pPr>
    </w:p>
    <w:p w:rsidR="00DF310E" w:rsidRPr="006F315D" w:rsidRDefault="00DF310E" w:rsidP="00DF3E56">
      <w:pPr>
        <w:pStyle w:val="Heading1"/>
        <w:spacing w:before="60" w:after="60" w:line="264" w:lineRule="auto"/>
        <w:jc w:val="center"/>
        <w:rPr>
          <w:sz w:val="24"/>
          <w:szCs w:val="24"/>
          <w:lang w:val="pt-BR" w:eastAsia="vi-VN"/>
        </w:rPr>
      </w:pPr>
      <w:r w:rsidRPr="006F315D">
        <w:rPr>
          <w:sz w:val="24"/>
          <w:szCs w:val="24"/>
          <w:lang w:val="pt-BR" w:eastAsia="vi-VN"/>
        </w:rPr>
        <w:t>Biểu</w:t>
      </w:r>
      <w:r w:rsidR="008C2C60">
        <w:rPr>
          <w:sz w:val="24"/>
          <w:szCs w:val="24"/>
          <w:lang w:val="pt-BR" w:eastAsia="vi-VN"/>
        </w:rPr>
        <w:t xml:space="preserve">: </w:t>
      </w:r>
      <w:r w:rsidRPr="006F315D">
        <w:rPr>
          <w:sz w:val="24"/>
          <w:szCs w:val="24"/>
          <w:lang w:val="pt-BR" w:eastAsia="vi-VN"/>
        </w:rPr>
        <w:t>Tỷ lệ thu thuế BVMT so với GDP và thu NSNN giai đoạn 2012-</w:t>
      </w:r>
      <w:r w:rsidR="00A44DBE" w:rsidRPr="006F315D">
        <w:rPr>
          <w:sz w:val="24"/>
          <w:szCs w:val="24"/>
          <w:lang w:val="pt-BR" w:eastAsia="vi-VN"/>
        </w:rPr>
        <w:t>2017</w:t>
      </w:r>
    </w:p>
    <w:p w:rsidR="00DF310E" w:rsidRPr="006F315D" w:rsidRDefault="00DF310E" w:rsidP="0038492E">
      <w:pPr>
        <w:spacing w:before="120" w:after="120" w:line="252" w:lineRule="auto"/>
        <w:rPr>
          <w:i/>
          <w:lang w:val="pt-BR"/>
        </w:rPr>
      </w:pPr>
      <w:r w:rsidRPr="006F315D">
        <w:rPr>
          <w:i/>
          <w:lang w:val="pt-BR"/>
        </w:rPr>
        <w:t xml:space="preserve">                                                                                                                   Đơn vị tính: tỷ đồng</w:t>
      </w:r>
    </w:p>
    <w:tbl>
      <w:tblPr>
        <w:tblW w:w="9539" w:type="dxa"/>
        <w:tblInd w:w="-318" w:type="dxa"/>
        <w:tblLook w:val="04A0"/>
      </w:tblPr>
      <w:tblGrid>
        <w:gridCol w:w="670"/>
        <w:gridCol w:w="1813"/>
        <w:gridCol w:w="1176"/>
        <w:gridCol w:w="1176"/>
        <w:gridCol w:w="1176"/>
        <w:gridCol w:w="1176"/>
        <w:gridCol w:w="1176"/>
        <w:gridCol w:w="1176"/>
      </w:tblGrid>
      <w:tr w:rsidR="00A44DBE" w:rsidRPr="006F315D" w:rsidTr="00ED05E6">
        <w:trPr>
          <w:trHeight w:val="330"/>
          <w:tblHeader/>
        </w:trPr>
        <w:tc>
          <w:tcPr>
            <w:tcW w:w="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44DBE" w:rsidRPr="006F315D" w:rsidRDefault="00A44DBE" w:rsidP="0038492E">
            <w:pPr>
              <w:spacing w:before="120" w:after="120" w:line="252" w:lineRule="auto"/>
              <w:jc w:val="center"/>
              <w:rPr>
                <w:b/>
                <w:bCs/>
                <w:color w:val="000000"/>
                <w:lang w:val="vi-VN" w:eastAsia="vi-VN"/>
              </w:rPr>
            </w:pPr>
            <w:r w:rsidRPr="006F315D">
              <w:rPr>
                <w:b/>
                <w:bCs/>
                <w:color w:val="000000"/>
                <w:lang w:eastAsia="vi-VN"/>
              </w:rPr>
              <w:t>STT</w:t>
            </w:r>
          </w:p>
        </w:tc>
        <w:tc>
          <w:tcPr>
            <w:tcW w:w="1813" w:type="dxa"/>
            <w:tcBorders>
              <w:top w:val="single" w:sz="8" w:space="0" w:color="auto"/>
              <w:left w:val="nil"/>
              <w:bottom w:val="single" w:sz="8" w:space="0" w:color="auto"/>
              <w:right w:val="single" w:sz="8" w:space="0" w:color="auto"/>
            </w:tcBorders>
            <w:shd w:val="clear" w:color="auto" w:fill="auto"/>
            <w:vAlign w:val="center"/>
            <w:hideMark/>
          </w:tcPr>
          <w:p w:rsidR="00A44DBE" w:rsidRPr="006F315D" w:rsidRDefault="00A44DBE" w:rsidP="0038492E">
            <w:pPr>
              <w:spacing w:before="120" w:after="120" w:line="252" w:lineRule="auto"/>
              <w:jc w:val="center"/>
              <w:rPr>
                <w:b/>
                <w:bCs/>
                <w:color w:val="000000"/>
                <w:lang w:val="vi-VN" w:eastAsia="vi-VN"/>
              </w:rPr>
            </w:pPr>
            <w:r w:rsidRPr="006F315D">
              <w:rPr>
                <w:b/>
                <w:bCs/>
                <w:color w:val="000000"/>
                <w:lang w:eastAsia="vi-VN"/>
              </w:rPr>
              <w:t>Chỉ tiêu</w:t>
            </w:r>
          </w:p>
        </w:tc>
        <w:tc>
          <w:tcPr>
            <w:tcW w:w="1176" w:type="dxa"/>
            <w:tcBorders>
              <w:top w:val="single" w:sz="8" w:space="0" w:color="auto"/>
              <w:left w:val="nil"/>
              <w:bottom w:val="single" w:sz="8" w:space="0" w:color="auto"/>
              <w:right w:val="single" w:sz="8" w:space="0" w:color="auto"/>
            </w:tcBorders>
            <w:shd w:val="clear" w:color="auto" w:fill="auto"/>
            <w:noWrap/>
            <w:vAlign w:val="center"/>
            <w:hideMark/>
          </w:tcPr>
          <w:p w:rsidR="00A44DBE" w:rsidRPr="006F315D" w:rsidRDefault="00A44DBE" w:rsidP="0038492E">
            <w:pPr>
              <w:spacing w:before="120" w:after="120" w:line="252" w:lineRule="auto"/>
              <w:jc w:val="center"/>
              <w:rPr>
                <w:b/>
                <w:bCs/>
                <w:color w:val="000000"/>
                <w:lang w:val="vi-VN" w:eastAsia="vi-VN"/>
              </w:rPr>
            </w:pPr>
            <w:r w:rsidRPr="006F315D">
              <w:rPr>
                <w:b/>
                <w:bCs/>
                <w:color w:val="000000"/>
                <w:lang w:eastAsia="vi-VN"/>
              </w:rPr>
              <w:t>2012</w:t>
            </w:r>
          </w:p>
        </w:tc>
        <w:tc>
          <w:tcPr>
            <w:tcW w:w="1176" w:type="dxa"/>
            <w:tcBorders>
              <w:top w:val="single" w:sz="8" w:space="0" w:color="auto"/>
              <w:left w:val="nil"/>
              <w:bottom w:val="single" w:sz="8" w:space="0" w:color="auto"/>
              <w:right w:val="single" w:sz="8" w:space="0" w:color="auto"/>
            </w:tcBorders>
            <w:shd w:val="clear" w:color="auto" w:fill="auto"/>
            <w:noWrap/>
            <w:vAlign w:val="center"/>
            <w:hideMark/>
          </w:tcPr>
          <w:p w:rsidR="00A44DBE" w:rsidRPr="006F315D" w:rsidRDefault="00A44DBE" w:rsidP="0038492E">
            <w:pPr>
              <w:spacing w:before="120" w:after="120" w:line="252" w:lineRule="auto"/>
              <w:jc w:val="center"/>
              <w:rPr>
                <w:b/>
                <w:bCs/>
                <w:color w:val="000000"/>
                <w:lang w:val="vi-VN" w:eastAsia="vi-VN"/>
              </w:rPr>
            </w:pPr>
            <w:r w:rsidRPr="006F315D">
              <w:rPr>
                <w:b/>
                <w:bCs/>
                <w:color w:val="000000"/>
                <w:lang w:eastAsia="vi-VN"/>
              </w:rPr>
              <w:t>2013</w:t>
            </w:r>
          </w:p>
        </w:tc>
        <w:tc>
          <w:tcPr>
            <w:tcW w:w="1176" w:type="dxa"/>
            <w:tcBorders>
              <w:top w:val="single" w:sz="8" w:space="0" w:color="auto"/>
              <w:left w:val="nil"/>
              <w:bottom w:val="single" w:sz="8" w:space="0" w:color="auto"/>
              <w:right w:val="single" w:sz="8" w:space="0" w:color="auto"/>
            </w:tcBorders>
            <w:shd w:val="clear" w:color="auto" w:fill="auto"/>
            <w:noWrap/>
            <w:vAlign w:val="center"/>
            <w:hideMark/>
          </w:tcPr>
          <w:p w:rsidR="00A44DBE" w:rsidRPr="006F315D" w:rsidRDefault="00A44DBE" w:rsidP="0038492E">
            <w:pPr>
              <w:spacing w:before="120" w:after="120" w:line="252" w:lineRule="auto"/>
              <w:jc w:val="center"/>
              <w:rPr>
                <w:b/>
                <w:bCs/>
                <w:color w:val="000000"/>
                <w:lang w:val="vi-VN" w:eastAsia="vi-VN"/>
              </w:rPr>
            </w:pPr>
            <w:r w:rsidRPr="006F315D">
              <w:rPr>
                <w:b/>
                <w:bCs/>
                <w:color w:val="000000"/>
                <w:lang w:eastAsia="vi-VN"/>
              </w:rPr>
              <w:t>2014</w:t>
            </w:r>
          </w:p>
        </w:tc>
        <w:tc>
          <w:tcPr>
            <w:tcW w:w="1176" w:type="dxa"/>
            <w:tcBorders>
              <w:top w:val="single" w:sz="8" w:space="0" w:color="auto"/>
              <w:left w:val="nil"/>
              <w:bottom w:val="single" w:sz="8" w:space="0" w:color="auto"/>
              <w:right w:val="single" w:sz="8" w:space="0" w:color="auto"/>
            </w:tcBorders>
            <w:shd w:val="clear" w:color="auto" w:fill="auto"/>
            <w:noWrap/>
            <w:vAlign w:val="center"/>
            <w:hideMark/>
          </w:tcPr>
          <w:p w:rsidR="00A44DBE" w:rsidRPr="006F315D" w:rsidRDefault="00A44DBE" w:rsidP="0038492E">
            <w:pPr>
              <w:spacing w:before="120" w:after="120" w:line="252" w:lineRule="auto"/>
              <w:jc w:val="center"/>
              <w:rPr>
                <w:b/>
                <w:bCs/>
                <w:color w:val="000000"/>
                <w:lang w:val="vi-VN" w:eastAsia="vi-VN"/>
              </w:rPr>
            </w:pPr>
            <w:r w:rsidRPr="006F315D">
              <w:rPr>
                <w:b/>
                <w:bCs/>
                <w:color w:val="000000"/>
                <w:lang w:eastAsia="vi-VN"/>
              </w:rPr>
              <w:t>2015</w:t>
            </w:r>
          </w:p>
        </w:tc>
        <w:tc>
          <w:tcPr>
            <w:tcW w:w="1176" w:type="dxa"/>
            <w:tcBorders>
              <w:top w:val="single" w:sz="8" w:space="0" w:color="auto"/>
              <w:left w:val="nil"/>
              <w:bottom w:val="single" w:sz="8" w:space="0" w:color="auto"/>
              <w:right w:val="single" w:sz="8" w:space="0" w:color="auto"/>
            </w:tcBorders>
            <w:shd w:val="clear" w:color="auto" w:fill="auto"/>
            <w:noWrap/>
            <w:vAlign w:val="center"/>
            <w:hideMark/>
          </w:tcPr>
          <w:p w:rsidR="00A44DBE" w:rsidRPr="006F315D" w:rsidRDefault="00A44DBE" w:rsidP="0038492E">
            <w:pPr>
              <w:spacing w:before="120" w:after="120" w:line="252" w:lineRule="auto"/>
              <w:jc w:val="center"/>
              <w:rPr>
                <w:b/>
                <w:bCs/>
                <w:color w:val="000000"/>
                <w:lang w:val="vi-VN" w:eastAsia="vi-VN"/>
              </w:rPr>
            </w:pPr>
            <w:r w:rsidRPr="006F315D">
              <w:rPr>
                <w:b/>
                <w:bCs/>
                <w:color w:val="000000"/>
                <w:lang w:eastAsia="vi-VN"/>
              </w:rPr>
              <w:t>2016</w:t>
            </w:r>
          </w:p>
        </w:tc>
        <w:tc>
          <w:tcPr>
            <w:tcW w:w="1176" w:type="dxa"/>
            <w:tcBorders>
              <w:top w:val="single" w:sz="8" w:space="0" w:color="auto"/>
              <w:left w:val="nil"/>
              <w:bottom w:val="single" w:sz="8" w:space="0" w:color="auto"/>
              <w:right w:val="single" w:sz="8" w:space="0" w:color="auto"/>
            </w:tcBorders>
            <w:shd w:val="clear" w:color="auto" w:fill="auto"/>
            <w:noWrap/>
            <w:vAlign w:val="center"/>
            <w:hideMark/>
          </w:tcPr>
          <w:p w:rsidR="00A44DBE" w:rsidRPr="006F315D" w:rsidRDefault="00A44DBE" w:rsidP="0038492E">
            <w:pPr>
              <w:spacing w:before="120" w:after="120" w:line="252" w:lineRule="auto"/>
              <w:jc w:val="center"/>
              <w:rPr>
                <w:b/>
                <w:bCs/>
                <w:color w:val="000000"/>
                <w:lang w:val="vi-VN" w:eastAsia="vi-VN"/>
              </w:rPr>
            </w:pPr>
            <w:r w:rsidRPr="006F315D">
              <w:rPr>
                <w:b/>
                <w:bCs/>
                <w:color w:val="000000"/>
                <w:lang w:val="vi-VN" w:eastAsia="vi-VN"/>
              </w:rPr>
              <w:t>2017</w:t>
            </w:r>
          </w:p>
        </w:tc>
      </w:tr>
      <w:tr w:rsidR="00A44DBE" w:rsidRPr="006F315D" w:rsidTr="00AB6170">
        <w:trPr>
          <w:trHeight w:val="703"/>
        </w:trPr>
        <w:tc>
          <w:tcPr>
            <w:tcW w:w="670" w:type="dxa"/>
            <w:tcBorders>
              <w:top w:val="nil"/>
              <w:left w:val="single" w:sz="8" w:space="0" w:color="auto"/>
              <w:bottom w:val="single" w:sz="8" w:space="0" w:color="auto"/>
              <w:right w:val="single" w:sz="8" w:space="0" w:color="auto"/>
            </w:tcBorders>
            <w:shd w:val="clear" w:color="auto" w:fill="auto"/>
            <w:noWrap/>
            <w:vAlign w:val="center"/>
            <w:hideMark/>
          </w:tcPr>
          <w:p w:rsidR="00A44DBE" w:rsidRPr="006F315D" w:rsidRDefault="00A44DBE" w:rsidP="0038492E">
            <w:pPr>
              <w:spacing w:before="120" w:after="120" w:line="252" w:lineRule="auto"/>
              <w:jc w:val="center"/>
              <w:rPr>
                <w:color w:val="000000"/>
                <w:lang w:val="vi-VN" w:eastAsia="vi-VN"/>
              </w:rPr>
            </w:pPr>
            <w:r w:rsidRPr="006F315D">
              <w:rPr>
                <w:color w:val="000000"/>
                <w:lang w:eastAsia="vi-VN"/>
              </w:rPr>
              <w:t>1</w:t>
            </w:r>
          </w:p>
        </w:tc>
        <w:tc>
          <w:tcPr>
            <w:tcW w:w="1813" w:type="dxa"/>
            <w:tcBorders>
              <w:top w:val="nil"/>
              <w:left w:val="nil"/>
              <w:bottom w:val="single" w:sz="8" w:space="0" w:color="auto"/>
              <w:right w:val="single" w:sz="8" w:space="0" w:color="auto"/>
            </w:tcBorders>
            <w:shd w:val="clear" w:color="auto" w:fill="auto"/>
            <w:vAlign w:val="center"/>
            <w:hideMark/>
          </w:tcPr>
          <w:p w:rsidR="00A44DBE" w:rsidRPr="006F315D" w:rsidRDefault="00A44DBE" w:rsidP="0038492E">
            <w:pPr>
              <w:spacing w:before="120" w:after="120" w:line="252" w:lineRule="auto"/>
              <w:rPr>
                <w:color w:val="000000"/>
                <w:lang w:val="vi-VN" w:eastAsia="vi-VN"/>
              </w:rPr>
            </w:pPr>
            <w:r w:rsidRPr="006F315D">
              <w:rPr>
                <w:color w:val="000000"/>
                <w:lang w:val="vi-VN" w:eastAsia="vi-VN"/>
              </w:rPr>
              <w:t>Tổng sản phẩm quốc nội (GDP)</w:t>
            </w:r>
          </w:p>
        </w:tc>
        <w:tc>
          <w:tcPr>
            <w:tcW w:w="1176" w:type="dxa"/>
            <w:tcBorders>
              <w:top w:val="nil"/>
              <w:left w:val="nil"/>
              <w:bottom w:val="single" w:sz="8" w:space="0" w:color="auto"/>
              <w:right w:val="single" w:sz="8" w:space="0" w:color="auto"/>
            </w:tcBorders>
            <w:shd w:val="clear" w:color="000000" w:fill="FFFFFF"/>
            <w:noWrap/>
            <w:vAlign w:val="center"/>
            <w:hideMark/>
          </w:tcPr>
          <w:p w:rsidR="00A44DBE" w:rsidRPr="006F315D" w:rsidRDefault="00A44DBE" w:rsidP="0038492E">
            <w:pPr>
              <w:spacing w:before="120" w:after="120" w:line="252" w:lineRule="auto"/>
              <w:jc w:val="right"/>
              <w:rPr>
                <w:color w:val="000000"/>
                <w:lang w:val="vi-VN" w:eastAsia="vi-VN"/>
              </w:rPr>
            </w:pPr>
            <w:r w:rsidRPr="006F315D">
              <w:rPr>
                <w:color w:val="000000"/>
                <w:lang w:eastAsia="vi-VN"/>
              </w:rPr>
              <w:t>3.245.419</w:t>
            </w:r>
          </w:p>
        </w:tc>
        <w:tc>
          <w:tcPr>
            <w:tcW w:w="1176" w:type="dxa"/>
            <w:tcBorders>
              <w:top w:val="nil"/>
              <w:left w:val="nil"/>
              <w:bottom w:val="single" w:sz="8" w:space="0" w:color="auto"/>
              <w:right w:val="single" w:sz="8" w:space="0" w:color="auto"/>
            </w:tcBorders>
            <w:shd w:val="clear" w:color="000000" w:fill="FFFFFF"/>
            <w:noWrap/>
            <w:vAlign w:val="center"/>
            <w:hideMark/>
          </w:tcPr>
          <w:p w:rsidR="00A44DBE" w:rsidRPr="006F315D" w:rsidRDefault="00A44DBE" w:rsidP="0038492E">
            <w:pPr>
              <w:spacing w:before="120" w:after="120" w:line="252" w:lineRule="auto"/>
              <w:jc w:val="right"/>
              <w:rPr>
                <w:color w:val="000000"/>
                <w:lang w:val="vi-VN" w:eastAsia="vi-VN"/>
              </w:rPr>
            </w:pPr>
            <w:r w:rsidRPr="006F315D">
              <w:rPr>
                <w:color w:val="000000"/>
                <w:lang w:eastAsia="vi-VN"/>
              </w:rPr>
              <w:t>3.584.262</w:t>
            </w:r>
          </w:p>
        </w:tc>
        <w:tc>
          <w:tcPr>
            <w:tcW w:w="1176" w:type="dxa"/>
            <w:tcBorders>
              <w:top w:val="nil"/>
              <w:left w:val="nil"/>
              <w:bottom w:val="single" w:sz="8" w:space="0" w:color="auto"/>
              <w:right w:val="single" w:sz="8" w:space="0" w:color="auto"/>
            </w:tcBorders>
            <w:shd w:val="clear" w:color="000000" w:fill="FFFFFF"/>
            <w:noWrap/>
            <w:vAlign w:val="center"/>
            <w:hideMark/>
          </w:tcPr>
          <w:p w:rsidR="00A44DBE" w:rsidRPr="006F315D" w:rsidRDefault="00A44DBE" w:rsidP="0038492E">
            <w:pPr>
              <w:spacing w:before="120" w:after="120" w:line="252" w:lineRule="auto"/>
              <w:jc w:val="right"/>
              <w:rPr>
                <w:color w:val="000000"/>
                <w:lang w:val="vi-VN" w:eastAsia="vi-VN"/>
              </w:rPr>
            </w:pPr>
            <w:r w:rsidRPr="006F315D">
              <w:rPr>
                <w:color w:val="000000"/>
                <w:lang w:eastAsia="vi-VN"/>
              </w:rPr>
              <w:t>3.937.856</w:t>
            </w:r>
          </w:p>
        </w:tc>
        <w:tc>
          <w:tcPr>
            <w:tcW w:w="1176" w:type="dxa"/>
            <w:tcBorders>
              <w:top w:val="nil"/>
              <w:left w:val="nil"/>
              <w:bottom w:val="single" w:sz="8" w:space="0" w:color="auto"/>
              <w:right w:val="single" w:sz="8" w:space="0" w:color="auto"/>
            </w:tcBorders>
            <w:shd w:val="clear" w:color="000000" w:fill="FFFFFF"/>
            <w:noWrap/>
            <w:vAlign w:val="center"/>
            <w:hideMark/>
          </w:tcPr>
          <w:p w:rsidR="00A44DBE" w:rsidRPr="006F315D" w:rsidRDefault="00A44DBE" w:rsidP="0038492E">
            <w:pPr>
              <w:spacing w:before="120" w:after="120" w:line="252" w:lineRule="auto"/>
              <w:jc w:val="right"/>
              <w:rPr>
                <w:color w:val="000000"/>
                <w:lang w:val="vi-VN" w:eastAsia="vi-VN"/>
              </w:rPr>
            </w:pPr>
            <w:r w:rsidRPr="006F315D">
              <w:rPr>
                <w:color w:val="000000"/>
                <w:lang w:eastAsia="vi-VN"/>
              </w:rPr>
              <w:t>4.192.862</w:t>
            </w:r>
          </w:p>
        </w:tc>
        <w:tc>
          <w:tcPr>
            <w:tcW w:w="1176" w:type="dxa"/>
            <w:tcBorders>
              <w:top w:val="nil"/>
              <w:left w:val="nil"/>
              <w:bottom w:val="single" w:sz="8" w:space="0" w:color="auto"/>
              <w:right w:val="single" w:sz="8" w:space="0" w:color="auto"/>
            </w:tcBorders>
            <w:shd w:val="clear" w:color="000000" w:fill="FFFFFF"/>
            <w:noWrap/>
            <w:vAlign w:val="center"/>
            <w:hideMark/>
          </w:tcPr>
          <w:p w:rsidR="00A44DBE" w:rsidRPr="006F315D" w:rsidRDefault="00A44DBE" w:rsidP="0038492E">
            <w:pPr>
              <w:spacing w:before="120" w:after="120" w:line="252" w:lineRule="auto"/>
              <w:jc w:val="right"/>
              <w:rPr>
                <w:iCs/>
                <w:color w:val="000000"/>
                <w:lang w:val="vi-VN" w:eastAsia="vi-VN"/>
              </w:rPr>
            </w:pPr>
            <w:r w:rsidRPr="006F315D">
              <w:rPr>
                <w:iCs/>
                <w:color w:val="000000"/>
                <w:lang w:eastAsia="vi-VN"/>
              </w:rPr>
              <w:t>4.530.398</w:t>
            </w:r>
          </w:p>
        </w:tc>
        <w:tc>
          <w:tcPr>
            <w:tcW w:w="1176" w:type="dxa"/>
            <w:tcBorders>
              <w:top w:val="nil"/>
              <w:left w:val="nil"/>
              <w:bottom w:val="single" w:sz="8" w:space="0" w:color="auto"/>
              <w:right w:val="single" w:sz="8" w:space="0" w:color="auto"/>
            </w:tcBorders>
            <w:shd w:val="clear" w:color="auto" w:fill="auto"/>
            <w:noWrap/>
            <w:vAlign w:val="center"/>
            <w:hideMark/>
          </w:tcPr>
          <w:p w:rsidR="00A44DBE" w:rsidRPr="006F315D" w:rsidRDefault="00A44DBE" w:rsidP="0038492E">
            <w:pPr>
              <w:spacing w:before="120" w:after="120" w:line="252" w:lineRule="auto"/>
              <w:jc w:val="right"/>
              <w:rPr>
                <w:iCs/>
                <w:color w:val="000000"/>
                <w:lang w:val="vi-VN" w:eastAsia="vi-VN"/>
              </w:rPr>
            </w:pPr>
            <w:r w:rsidRPr="006F315D">
              <w:rPr>
                <w:iCs/>
                <w:color w:val="000000"/>
                <w:lang w:val="vi-VN" w:eastAsia="vi-VN"/>
              </w:rPr>
              <w:t>5.007.857</w:t>
            </w:r>
          </w:p>
        </w:tc>
      </w:tr>
      <w:tr w:rsidR="00A44DBE" w:rsidRPr="006F315D" w:rsidTr="00AB6170">
        <w:trPr>
          <w:trHeight w:val="573"/>
        </w:trPr>
        <w:tc>
          <w:tcPr>
            <w:tcW w:w="670" w:type="dxa"/>
            <w:tcBorders>
              <w:top w:val="nil"/>
              <w:left w:val="single" w:sz="8" w:space="0" w:color="auto"/>
              <w:bottom w:val="single" w:sz="8" w:space="0" w:color="auto"/>
              <w:right w:val="single" w:sz="8" w:space="0" w:color="auto"/>
            </w:tcBorders>
            <w:shd w:val="clear" w:color="auto" w:fill="auto"/>
            <w:noWrap/>
            <w:vAlign w:val="center"/>
            <w:hideMark/>
          </w:tcPr>
          <w:p w:rsidR="00A44DBE" w:rsidRPr="006F315D" w:rsidRDefault="00A44DBE" w:rsidP="0038492E">
            <w:pPr>
              <w:spacing w:before="120" w:after="120" w:line="252" w:lineRule="auto"/>
              <w:jc w:val="center"/>
              <w:rPr>
                <w:color w:val="000000"/>
                <w:lang w:val="vi-VN" w:eastAsia="vi-VN"/>
              </w:rPr>
            </w:pPr>
            <w:r w:rsidRPr="006F315D">
              <w:rPr>
                <w:color w:val="000000"/>
                <w:lang w:eastAsia="vi-VN"/>
              </w:rPr>
              <w:t>2</w:t>
            </w:r>
          </w:p>
        </w:tc>
        <w:tc>
          <w:tcPr>
            <w:tcW w:w="1813" w:type="dxa"/>
            <w:tcBorders>
              <w:top w:val="nil"/>
              <w:left w:val="nil"/>
              <w:bottom w:val="single" w:sz="8" w:space="0" w:color="auto"/>
              <w:right w:val="single" w:sz="8" w:space="0" w:color="auto"/>
            </w:tcBorders>
            <w:shd w:val="clear" w:color="auto" w:fill="auto"/>
            <w:vAlign w:val="center"/>
            <w:hideMark/>
          </w:tcPr>
          <w:p w:rsidR="00A44DBE" w:rsidRPr="006F315D" w:rsidRDefault="00A44DBE" w:rsidP="0038492E">
            <w:pPr>
              <w:spacing w:before="120" w:after="120" w:line="252" w:lineRule="auto"/>
              <w:rPr>
                <w:color w:val="000000"/>
                <w:lang w:val="vi-VN" w:eastAsia="vi-VN"/>
              </w:rPr>
            </w:pPr>
            <w:r w:rsidRPr="006F315D">
              <w:rPr>
                <w:color w:val="000000"/>
                <w:lang w:eastAsia="vi-VN"/>
              </w:rPr>
              <w:t>Tổng thu NSNN</w:t>
            </w:r>
          </w:p>
        </w:tc>
        <w:tc>
          <w:tcPr>
            <w:tcW w:w="1176" w:type="dxa"/>
            <w:tcBorders>
              <w:top w:val="nil"/>
              <w:left w:val="nil"/>
              <w:bottom w:val="single" w:sz="8" w:space="0" w:color="auto"/>
              <w:right w:val="single" w:sz="8" w:space="0" w:color="auto"/>
            </w:tcBorders>
            <w:shd w:val="clear" w:color="000000" w:fill="FFFFFF"/>
            <w:noWrap/>
            <w:vAlign w:val="center"/>
            <w:hideMark/>
          </w:tcPr>
          <w:p w:rsidR="00A44DBE" w:rsidRPr="006F315D" w:rsidRDefault="00A44DBE" w:rsidP="0038492E">
            <w:pPr>
              <w:spacing w:before="120" w:after="120" w:line="252" w:lineRule="auto"/>
              <w:jc w:val="right"/>
              <w:rPr>
                <w:color w:val="000000"/>
                <w:lang w:val="vi-VN" w:eastAsia="vi-VN"/>
              </w:rPr>
            </w:pPr>
            <w:r w:rsidRPr="006F315D">
              <w:rPr>
                <w:color w:val="000000"/>
                <w:lang w:eastAsia="vi-VN"/>
              </w:rPr>
              <w:t>754.572</w:t>
            </w:r>
          </w:p>
        </w:tc>
        <w:tc>
          <w:tcPr>
            <w:tcW w:w="1176" w:type="dxa"/>
            <w:tcBorders>
              <w:top w:val="nil"/>
              <w:left w:val="nil"/>
              <w:bottom w:val="single" w:sz="8" w:space="0" w:color="auto"/>
              <w:right w:val="single" w:sz="8" w:space="0" w:color="auto"/>
            </w:tcBorders>
            <w:shd w:val="clear" w:color="000000" w:fill="FFFFFF"/>
            <w:noWrap/>
            <w:vAlign w:val="center"/>
            <w:hideMark/>
          </w:tcPr>
          <w:p w:rsidR="00A44DBE" w:rsidRPr="006F315D" w:rsidRDefault="00A44DBE" w:rsidP="0038492E">
            <w:pPr>
              <w:spacing w:before="120" w:after="120" w:line="252" w:lineRule="auto"/>
              <w:jc w:val="right"/>
              <w:rPr>
                <w:color w:val="000000"/>
                <w:lang w:val="vi-VN" w:eastAsia="vi-VN"/>
              </w:rPr>
            </w:pPr>
            <w:r w:rsidRPr="006F315D">
              <w:rPr>
                <w:color w:val="000000"/>
                <w:lang w:eastAsia="vi-VN"/>
              </w:rPr>
              <w:t>828.348</w:t>
            </w:r>
          </w:p>
        </w:tc>
        <w:tc>
          <w:tcPr>
            <w:tcW w:w="1176" w:type="dxa"/>
            <w:tcBorders>
              <w:top w:val="nil"/>
              <w:left w:val="nil"/>
              <w:bottom w:val="single" w:sz="8" w:space="0" w:color="auto"/>
              <w:right w:val="single" w:sz="8" w:space="0" w:color="auto"/>
            </w:tcBorders>
            <w:shd w:val="clear" w:color="000000" w:fill="FFFFFF"/>
            <w:noWrap/>
            <w:vAlign w:val="center"/>
            <w:hideMark/>
          </w:tcPr>
          <w:p w:rsidR="00A44DBE" w:rsidRPr="006F315D" w:rsidRDefault="00A44DBE" w:rsidP="0038492E">
            <w:pPr>
              <w:spacing w:before="120" w:after="120" w:line="252" w:lineRule="auto"/>
              <w:jc w:val="right"/>
              <w:rPr>
                <w:color w:val="000000"/>
                <w:lang w:val="vi-VN" w:eastAsia="vi-VN"/>
              </w:rPr>
            </w:pPr>
            <w:r w:rsidRPr="006F315D">
              <w:rPr>
                <w:color w:val="000000"/>
                <w:lang w:eastAsia="vi-VN"/>
              </w:rPr>
              <w:t>877.697</w:t>
            </w:r>
          </w:p>
        </w:tc>
        <w:tc>
          <w:tcPr>
            <w:tcW w:w="1176" w:type="dxa"/>
            <w:tcBorders>
              <w:top w:val="nil"/>
              <w:left w:val="nil"/>
              <w:bottom w:val="single" w:sz="8" w:space="0" w:color="auto"/>
              <w:right w:val="single" w:sz="8" w:space="0" w:color="auto"/>
            </w:tcBorders>
            <w:shd w:val="clear" w:color="000000" w:fill="FFFFFF"/>
            <w:noWrap/>
            <w:vAlign w:val="center"/>
            <w:hideMark/>
          </w:tcPr>
          <w:p w:rsidR="00A44DBE" w:rsidRPr="006F315D" w:rsidRDefault="00A44DBE" w:rsidP="0038492E">
            <w:pPr>
              <w:spacing w:before="120" w:after="120" w:line="252" w:lineRule="auto"/>
              <w:jc w:val="right"/>
              <w:rPr>
                <w:color w:val="000000"/>
                <w:lang w:val="vi-VN" w:eastAsia="vi-VN"/>
              </w:rPr>
            </w:pPr>
            <w:r w:rsidRPr="006F315D">
              <w:rPr>
                <w:color w:val="000000"/>
                <w:lang w:eastAsia="vi-VN"/>
              </w:rPr>
              <w:t>997.785</w:t>
            </w:r>
          </w:p>
        </w:tc>
        <w:tc>
          <w:tcPr>
            <w:tcW w:w="1176" w:type="dxa"/>
            <w:tcBorders>
              <w:top w:val="nil"/>
              <w:left w:val="nil"/>
              <w:bottom w:val="single" w:sz="8" w:space="0" w:color="auto"/>
              <w:right w:val="single" w:sz="8" w:space="0" w:color="auto"/>
            </w:tcBorders>
            <w:shd w:val="clear" w:color="000000" w:fill="FFFFFF"/>
            <w:noWrap/>
            <w:vAlign w:val="center"/>
            <w:hideMark/>
          </w:tcPr>
          <w:p w:rsidR="00A44DBE" w:rsidRPr="006F315D" w:rsidRDefault="00A44DBE" w:rsidP="0038492E">
            <w:pPr>
              <w:spacing w:before="120" w:after="120" w:line="252" w:lineRule="auto"/>
              <w:jc w:val="right"/>
              <w:rPr>
                <w:iCs/>
                <w:color w:val="000000"/>
                <w:lang w:val="vi-VN" w:eastAsia="vi-VN"/>
              </w:rPr>
            </w:pPr>
            <w:r w:rsidRPr="006F315D">
              <w:rPr>
                <w:iCs/>
                <w:color w:val="000000"/>
                <w:lang w:eastAsia="vi-VN"/>
              </w:rPr>
              <w:t>1.039.000</w:t>
            </w:r>
          </w:p>
        </w:tc>
        <w:tc>
          <w:tcPr>
            <w:tcW w:w="1176" w:type="dxa"/>
            <w:tcBorders>
              <w:top w:val="nil"/>
              <w:left w:val="nil"/>
              <w:bottom w:val="single" w:sz="8" w:space="0" w:color="auto"/>
              <w:right w:val="single" w:sz="8" w:space="0" w:color="auto"/>
            </w:tcBorders>
            <w:shd w:val="clear" w:color="auto" w:fill="auto"/>
            <w:noWrap/>
            <w:vAlign w:val="center"/>
            <w:hideMark/>
          </w:tcPr>
          <w:p w:rsidR="00A44DBE" w:rsidRPr="006F315D" w:rsidRDefault="00A44DBE" w:rsidP="0038492E">
            <w:pPr>
              <w:spacing w:before="120" w:after="120" w:line="252" w:lineRule="auto"/>
              <w:jc w:val="right"/>
              <w:rPr>
                <w:color w:val="000000"/>
                <w:lang w:val="vi-VN" w:eastAsia="vi-VN"/>
              </w:rPr>
            </w:pPr>
            <w:r w:rsidRPr="006F315D">
              <w:rPr>
                <w:color w:val="000000"/>
                <w:lang w:val="vi-VN" w:eastAsia="vi-VN"/>
              </w:rPr>
              <w:t>1.212.180</w:t>
            </w:r>
          </w:p>
        </w:tc>
      </w:tr>
      <w:tr w:rsidR="00A44DBE" w:rsidRPr="006F315D" w:rsidTr="00AB6170">
        <w:trPr>
          <w:trHeight w:val="553"/>
        </w:trPr>
        <w:tc>
          <w:tcPr>
            <w:tcW w:w="670" w:type="dxa"/>
            <w:tcBorders>
              <w:top w:val="nil"/>
              <w:left w:val="single" w:sz="8" w:space="0" w:color="auto"/>
              <w:bottom w:val="single" w:sz="8" w:space="0" w:color="auto"/>
              <w:right w:val="single" w:sz="8" w:space="0" w:color="auto"/>
            </w:tcBorders>
            <w:shd w:val="clear" w:color="auto" w:fill="auto"/>
            <w:noWrap/>
            <w:vAlign w:val="center"/>
            <w:hideMark/>
          </w:tcPr>
          <w:p w:rsidR="00A44DBE" w:rsidRPr="006F315D" w:rsidRDefault="00A44DBE" w:rsidP="0038492E">
            <w:pPr>
              <w:spacing w:before="120" w:after="120" w:line="252" w:lineRule="auto"/>
              <w:jc w:val="center"/>
              <w:rPr>
                <w:color w:val="000000"/>
                <w:lang w:val="vi-VN" w:eastAsia="vi-VN"/>
              </w:rPr>
            </w:pPr>
            <w:r w:rsidRPr="006F315D">
              <w:rPr>
                <w:color w:val="000000"/>
                <w:lang w:eastAsia="vi-VN"/>
              </w:rPr>
              <w:t>3</w:t>
            </w:r>
          </w:p>
        </w:tc>
        <w:tc>
          <w:tcPr>
            <w:tcW w:w="1813" w:type="dxa"/>
            <w:tcBorders>
              <w:top w:val="nil"/>
              <w:left w:val="nil"/>
              <w:bottom w:val="single" w:sz="8" w:space="0" w:color="auto"/>
              <w:right w:val="single" w:sz="8" w:space="0" w:color="auto"/>
            </w:tcBorders>
            <w:shd w:val="clear" w:color="auto" w:fill="auto"/>
            <w:vAlign w:val="center"/>
            <w:hideMark/>
          </w:tcPr>
          <w:p w:rsidR="00A44DBE" w:rsidRPr="006F315D" w:rsidRDefault="00A44DBE" w:rsidP="0038492E">
            <w:pPr>
              <w:spacing w:before="120" w:after="120" w:line="252" w:lineRule="auto"/>
              <w:rPr>
                <w:color w:val="000000"/>
                <w:lang w:val="vi-VN" w:eastAsia="vi-VN"/>
              </w:rPr>
            </w:pPr>
            <w:r w:rsidRPr="006F315D">
              <w:rPr>
                <w:color w:val="000000"/>
                <w:lang w:eastAsia="vi-VN"/>
              </w:rPr>
              <w:t>Tổng thu thuế nội địa</w:t>
            </w:r>
          </w:p>
        </w:tc>
        <w:tc>
          <w:tcPr>
            <w:tcW w:w="1176" w:type="dxa"/>
            <w:tcBorders>
              <w:top w:val="nil"/>
              <w:left w:val="nil"/>
              <w:bottom w:val="single" w:sz="8" w:space="0" w:color="auto"/>
              <w:right w:val="single" w:sz="8" w:space="0" w:color="auto"/>
            </w:tcBorders>
            <w:shd w:val="clear" w:color="000000" w:fill="FFFFFF"/>
            <w:noWrap/>
            <w:vAlign w:val="center"/>
            <w:hideMark/>
          </w:tcPr>
          <w:p w:rsidR="00A44DBE" w:rsidRPr="006F315D" w:rsidRDefault="00A44DBE" w:rsidP="0038492E">
            <w:pPr>
              <w:spacing w:before="120" w:after="120" w:line="252" w:lineRule="auto"/>
              <w:jc w:val="right"/>
              <w:rPr>
                <w:color w:val="000000"/>
                <w:lang w:val="vi-VN" w:eastAsia="vi-VN"/>
              </w:rPr>
            </w:pPr>
            <w:r w:rsidRPr="006F315D">
              <w:rPr>
                <w:color w:val="000000"/>
                <w:lang w:eastAsia="vi-VN"/>
              </w:rPr>
              <w:t>422.870</w:t>
            </w:r>
          </w:p>
        </w:tc>
        <w:tc>
          <w:tcPr>
            <w:tcW w:w="1176" w:type="dxa"/>
            <w:tcBorders>
              <w:top w:val="nil"/>
              <w:left w:val="nil"/>
              <w:bottom w:val="single" w:sz="8" w:space="0" w:color="auto"/>
              <w:right w:val="single" w:sz="8" w:space="0" w:color="auto"/>
            </w:tcBorders>
            <w:shd w:val="clear" w:color="000000" w:fill="FFFFFF"/>
            <w:noWrap/>
            <w:vAlign w:val="center"/>
            <w:hideMark/>
          </w:tcPr>
          <w:p w:rsidR="00A44DBE" w:rsidRPr="006F315D" w:rsidRDefault="00A44DBE" w:rsidP="0038492E">
            <w:pPr>
              <w:spacing w:before="120" w:after="120" w:line="252" w:lineRule="auto"/>
              <w:jc w:val="right"/>
              <w:rPr>
                <w:color w:val="000000"/>
                <w:lang w:val="vi-VN" w:eastAsia="vi-VN"/>
              </w:rPr>
            </w:pPr>
            <w:r w:rsidRPr="006F315D">
              <w:rPr>
                <w:color w:val="000000"/>
                <w:lang w:eastAsia="vi-VN"/>
              </w:rPr>
              <w:t>513.090</w:t>
            </w:r>
          </w:p>
        </w:tc>
        <w:tc>
          <w:tcPr>
            <w:tcW w:w="1176" w:type="dxa"/>
            <w:tcBorders>
              <w:top w:val="nil"/>
              <w:left w:val="nil"/>
              <w:bottom w:val="single" w:sz="8" w:space="0" w:color="auto"/>
              <w:right w:val="single" w:sz="8" w:space="0" w:color="auto"/>
            </w:tcBorders>
            <w:shd w:val="clear" w:color="000000" w:fill="FFFFFF"/>
            <w:noWrap/>
            <w:vAlign w:val="center"/>
            <w:hideMark/>
          </w:tcPr>
          <w:p w:rsidR="00A44DBE" w:rsidRPr="006F315D" w:rsidRDefault="00A44DBE" w:rsidP="0038492E">
            <w:pPr>
              <w:spacing w:before="120" w:after="120" w:line="252" w:lineRule="auto"/>
              <w:jc w:val="right"/>
              <w:rPr>
                <w:color w:val="000000"/>
                <w:lang w:val="vi-VN" w:eastAsia="vi-VN"/>
              </w:rPr>
            </w:pPr>
            <w:r w:rsidRPr="006F315D">
              <w:rPr>
                <w:color w:val="000000"/>
                <w:lang w:eastAsia="vi-VN"/>
              </w:rPr>
              <w:t>537.997</w:t>
            </w:r>
          </w:p>
        </w:tc>
        <w:tc>
          <w:tcPr>
            <w:tcW w:w="1176" w:type="dxa"/>
            <w:tcBorders>
              <w:top w:val="nil"/>
              <w:left w:val="nil"/>
              <w:bottom w:val="single" w:sz="8" w:space="0" w:color="auto"/>
              <w:right w:val="single" w:sz="8" w:space="0" w:color="auto"/>
            </w:tcBorders>
            <w:shd w:val="clear" w:color="000000" w:fill="FFFFFF"/>
            <w:noWrap/>
            <w:vAlign w:val="center"/>
            <w:hideMark/>
          </w:tcPr>
          <w:p w:rsidR="00A44DBE" w:rsidRPr="006F315D" w:rsidRDefault="00A44DBE" w:rsidP="0038492E">
            <w:pPr>
              <w:spacing w:before="120" w:after="120" w:line="252" w:lineRule="auto"/>
              <w:jc w:val="right"/>
              <w:rPr>
                <w:color w:val="000000"/>
                <w:lang w:val="vi-VN" w:eastAsia="vi-VN"/>
              </w:rPr>
            </w:pPr>
            <w:r w:rsidRPr="006F315D">
              <w:rPr>
                <w:color w:val="000000"/>
                <w:lang w:eastAsia="vi-VN"/>
              </w:rPr>
              <w:t>740.062</w:t>
            </w:r>
          </w:p>
        </w:tc>
        <w:tc>
          <w:tcPr>
            <w:tcW w:w="1176" w:type="dxa"/>
            <w:tcBorders>
              <w:top w:val="nil"/>
              <w:left w:val="nil"/>
              <w:bottom w:val="single" w:sz="8" w:space="0" w:color="auto"/>
              <w:right w:val="single" w:sz="8" w:space="0" w:color="auto"/>
            </w:tcBorders>
            <w:shd w:val="clear" w:color="000000" w:fill="FFFFFF"/>
            <w:noWrap/>
            <w:vAlign w:val="center"/>
            <w:hideMark/>
          </w:tcPr>
          <w:p w:rsidR="00A44DBE" w:rsidRPr="006F315D" w:rsidRDefault="00A44DBE" w:rsidP="0038492E">
            <w:pPr>
              <w:spacing w:before="120" w:after="120" w:line="252" w:lineRule="auto"/>
              <w:jc w:val="right"/>
              <w:rPr>
                <w:iCs/>
                <w:color w:val="000000"/>
                <w:lang w:val="vi-VN" w:eastAsia="vi-VN"/>
              </w:rPr>
            </w:pPr>
            <w:r w:rsidRPr="006F315D">
              <w:rPr>
                <w:iCs/>
                <w:color w:val="000000"/>
                <w:lang w:eastAsia="vi-VN"/>
              </w:rPr>
              <w:t>829.000</w:t>
            </w:r>
          </w:p>
        </w:tc>
        <w:tc>
          <w:tcPr>
            <w:tcW w:w="1176" w:type="dxa"/>
            <w:tcBorders>
              <w:top w:val="nil"/>
              <w:left w:val="nil"/>
              <w:bottom w:val="single" w:sz="8" w:space="0" w:color="auto"/>
              <w:right w:val="single" w:sz="8" w:space="0" w:color="auto"/>
            </w:tcBorders>
            <w:shd w:val="clear" w:color="auto" w:fill="auto"/>
            <w:noWrap/>
            <w:vAlign w:val="center"/>
            <w:hideMark/>
          </w:tcPr>
          <w:p w:rsidR="00A44DBE" w:rsidRPr="006F315D" w:rsidRDefault="00A44DBE" w:rsidP="0038492E">
            <w:pPr>
              <w:spacing w:before="120" w:after="120" w:line="252" w:lineRule="auto"/>
              <w:jc w:val="right"/>
              <w:rPr>
                <w:color w:val="000000"/>
                <w:lang w:val="vi-VN" w:eastAsia="vi-VN"/>
              </w:rPr>
            </w:pPr>
            <w:r w:rsidRPr="006F315D">
              <w:rPr>
                <w:color w:val="000000"/>
                <w:lang w:val="vi-VN" w:eastAsia="vi-VN"/>
              </w:rPr>
              <w:t>990.280</w:t>
            </w:r>
          </w:p>
        </w:tc>
      </w:tr>
      <w:tr w:rsidR="00A44DBE" w:rsidRPr="006F315D" w:rsidTr="00AB6170">
        <w:trPr>
          <w:trHeight w:val="645"/>
        </w:trPr>
        <w:tc>
          <w:tcPr>
            <w:tcW w:w="670" w:type="dxa"/>
            <w:tcBorders>
              <w:top w:val="nil"/>
              <w:left w:val="single" w:sz="8" w:space="0" w:color="auto"/>
              <w:bottom w:val="single" w:sz="8" w:space="0" w:color="auto"/>
              <w:right w:val="single" w:sz="8" w:space="0" w:color="auto"/>
            </w:tcBorders>
            <w:shd w:val="clear" w:color="auto" w:fill="auto"/>
            <w:noWrap/>
            <w:vAlign w:val="center"/>
            <w:hideMark/>
          </w:tcPr>
          <w:p w:rsidR="00A44DBE" w:rsidRPr="006F315D" w:rsidRDefault="00A44DBE" w:rsidP="0038492E">
            <w:pPr>
              <w:spacing w:before="120" w:after="120" w:line="252" w:lineRule="auto"/>
              <w:jc w:val="center"/>
              <w:rPr>
                <w:b/>
                <w:bCs/>
                <w:color w:val="000000"/>
                <w:lang w:val="vi-VN" w:eastAsia="vi-VN"/>
              </w:rPr>
            </w:pPr>
            <w:r w:rsidRPr="006F315D">
              <w:rPr>
                <w:b/>
                <w:bCs/>
                <w:color w:val="000000"/>
                <w:lang w:eastAsia="vi-VN"/>
              </w:rPr>
              <w:t>4</w:t>
            </w:r>
          </w:p>
        </w:tc>
        <w:tc>
          <w:tcPr>
            <w:tcW w:w="1813" w:type="dxa"/>
            <w:tcBorders>
              <w:top w:val="nil"/>
              <w:left w:val="nil"/>
              <w:bottom w:val="single" w:sz="8" w:space="0" w:color="auto"/>
              <w:right w:val="single" w:sz="8" w:space="0" w:color="auto"/>
            </w:tcBorders>
            <w:shd w:val="clear" w:color="auto" w:fill="auto"/>
            <w:vAlign w:val="center"/>
            <w:hideMark/>
          </w:tcPr>
          <w:p w:rsidR="00A44DBE" w:rsidRPr="006F315D" w:rsidRDefault="00A44DBE" w:rsidP="0038492E">
            <w:pPr>
              <w:spacing w:before="120" w:after="120" w:line="252" w:lineRule="auto"/>
              <w:rPr>
                <w:b/>
                <w:bCs/>
                <w:color w:val="000000"/>
                <w:lang w:val="vi-VN" w:eastAsia="vi-VN"/>
              </w:rPr>
            </w:pPr>
            <w:r w:rsidRPr="006F315D">
              <w:rPr>
                <w:b/>
                <w:bCs/>
                <w:color w:val="000000"/>
                <w:lang w:eastAsia="vi-VN"/>
              </w:rPr>
              <w:t>Tổng thu thuế BVMT</w:t>
            </w:r>
          </w:p>
        </w:tc>
        <w:tc>
          <w:tcPr>
            <w:tcW w:w="1176" w:type="dxa"/>
            <w:tcBorders>
              <w:top w:val="nil"/>
              <w:left w:val="nil"/>
              <w:bottom w:val="single" w:sz="8" w:space="0" w:color="auto"/>
              <w:right w:val="single" w:sz="8" w:space="0" w:color="auto"/>
            </w:tcBorders>
            <w:shd w:val="clear" w:color="000000" w:fill="FFFFFF"/>
            <w:noWrap/>
            <w:vAlign w:val="center"/>
            <w:hideMark/>
          </w:tcPr>
          <w:p w:rsidR="00A44DBE" w:rsidRPr="006F315D" w:rsidRDefault="00A44DBE" w:rsidP="0038492E">
            <w:pPr>
              <w:spacing w:before="120" w:after="120" w:line="252" w:lineRule="auto"/>
              <w:jc w:val="right"/>
              <w:rPr>
                <w:b/>
                <w:bCs/>
                <w:color w:val="000000"/>
                <w:lang w:val="vi-VN" w:eastAsia="vi-VN"/>
              </w:rPr>
            </w:pPr>
            <w:r w:rsidRPr="006F315D">
              <w:rPr>
                <w:b/>
                <w:bCs/>
                <w:color w:val="000000"/>
                <w:lang w:eastAsia="vi-VN"/>
              </w:rPr>
              <w:t>11.160</w:t>
            </w:r>
          </w:p>
        </w:tc>
        <w:tc>
          <w:tcPr>
            <w:tcW w:w="1176" w:type="dxa"/>
            <w:tcBorders>
              <w:top w:val="nil"/>
              <w:left w:val="nil"/>
              <w:bottom w:val="single" w:sz="8" w:space="0" w:color="auto"/>
              <w:right w:val="single" w:sz="8" w:space="0" w:color="auto"/>
            </w:tcBorders>
            <w:shd w:val="clear" w:color="000000" w:fill="FFFFFF"/>
            <w:noWrap/>
            <w:vAlign w:val="center"/>
            <w:hideMark/>
          </w:tcPr>
          <w:p w:rsidR="00A44DBE" w:rsidRPr="006F315D" w:rsidRDefault="00A44DBE" w:rsidP="0038492E">
            <w:pPr>
              <w:spacing w:before="120" w:after="120" w:line="252" w:lineRule="auto"/>
              <w:jc w:val="right"/>
              <w:rPr>
                <w:b/>
                <w:bCs/>
                <w:color w:val="000000"/>
                <w:lang w:val="vi-VN" w:eastAsia="vi-VN"/>
              </w:rPr>
            </w:pPr>
            <w:r w:rsidRPr="006F315D">
              <w:rPr>
                <w:b/>
                <w:bCs/>
                <w:color w:val="000000"/>
                <w:lang w:eastAsia="vi-VN"/>
              </w:rPr>
              <w:t>11.512</w:t>
            </w:r>
          </w:p>
        </w:tc>
        <w:tc>
          <w:tcPr>
            <w:tcW w:w="1176" w:type="dxa"/>
            <w:tcBorders>
              <w:top w:val="nil"/>
              <w:left w:val="nil"/>
              <w:bottom w:val="single" w:sz="8" w:space="0" w:color="auto"/>
              <w:right w:val="single" w:sz="8" w:space="0" w:color="auto"/>
            </w:tcBorders>
            <w:shd w:val="clear" w:color="000000" w:fill="FFFFFF"/>
            <w:noWrap/>
            <w:vAlign w:val="center"/>
            <w:hideMark/>
          </w:tcPr>
          <w:p w:rsidR="00A44DBE" w:rsidRPr="006F315D" w:rsidRDefault="00A44DBE" w:rsidP="0038492E">
            <w:pPr>
              <w:spacing w:before="120" w:after="120" w:line="252" w:lineRule="auto"/>
              <w:jc w:val="right"/>
              <w:rPr>
                <w:b/>
                <w:bCs/>
                <w:color w:val="000000"/>
                <w:lang w:val="vi-VN" w:eastAsia="vi-VN"/>
              </w:rPr>
            </w:pPr>
            <w:r w:rsidRPr="006F315D">
              <w:rPr>
                <w:b/>
                <w:bCs/>
                <w:color w:val="000000"/>
                <w:lang w:eastAsia="vi-VN"/>
              </w:rPr>
              <w:t>11.970</w:t>
            </w:r>
          </w:p>
        </w:tc>
        <w:tc>
          <w:tcPr>
            <w:tcW w:w="1176" w:type="dxa"/>
            <w:tcBorders>
              <w:top w:val="nil"/>
              <w:left w:val="nil"/>
              <w:bottom w:val="single" w:sz="8" w:space="0" w:color="auto"/>
              <w:right w:val="single" w:sz="8" w:space="0" w:color="auto"/>
            </w:tcBorders>
            <w:shd w:val="clear" w:color="000000" w:fill="FFFFFF"/>
            <w:noWrap/>
            <w:vAlign w:val="center"/>
            <w:hideMark/>
          </w:tcPr>
          <w:p w:rsidR="00A44DBE" w:rsidRPr="006F315D" w:rsidRDefault="00A44DBE" w:rsidP="0038492E">
            <w:pPr>
              <w:spacing w:before="120" w:after="120" w:line="252" w:lineRule="auto"/>
              <w:jc w:val="right"/>
              <w:rPr>
                <w:b/>
                <w:bCs/>
                <w:color w:val="000000"/>
                <w:lang w:val="vi-VN" w:eastAsia="vi-VN"/>
              </w:rPr>
            </w:pPr>
            <w:r w:rsidRPr="006F315D">
              <w:rPr>
                <w:b/>
                <w:bCs/>
                <w:color w:val="000000"/>
                <w:lang w:eastAsia="vi-VN"/>
              </w:rPr>
              <w:t>27.020</w:t>
            </w:r>
          </w:p>
        </w:tc>
        <w:tc>
          <w:tcPr>
            <w:tcW w:w="1176" w:type="dxa"/>
            <w:tcBorders>
              <w:top w:val="nil"/>
              <w:left w:val="nil"/>
              <w:bottom w:val="single" w:sz="8" w:space="0" w:color="auto"/>
              <w:right w:val="single" w:sz="8" w:space="0" w:color="auto"/>
            </w:tcBorders>
            <w:shd w:val="clear" w:color="000000" w:fill="FFFFFF"/>
            <w:noWrap/>
            <w:vAlign w:val="center"/>
            <w:hideMark/>
          </w:tcPr>
          <w:p w:rsidR="00A44DBE" w:rsidRPr="006F315D" w:rsidRDefault="00A44DBE" w:rsidP="0038492E">
            <w:pPr>
              <w:spacing w:before="120" w:after="120" w:line="252" w:lineRule="auto"/>
              <w:jc w:val="right"/>
              <w:rPr>
                <w:b/>
                <w:bCs/>
                <w:color w:val="000000"/>
                <w:lang w:val="vi-VN" w:eastAsia="vi-VN"/>
              </w:rPr>
            </w:pPr>
            <w:r w:rsidRPr="006F315D">
              <w:rPr>
                <w:b/>
                <w:bCs/>
                <w:color w:val="000000"/>
                <w:lang w:eastAsia="vi-VN"/>
              </w:rPr>
              <w:t>44.323</w:t>
            </w:r>
          </w:p>
        </w:tc>
        <w:tc>
          <w:tcPr>
            <w:tcW w:w="1176" w:type="dxa"/>
            <w:tcBorders>
              <w:top w:val="nil"/>
              <w:left w:val="nil"/>
              <w:bottom w:val="single" w:sz="8" w:space="0" w:color="auto"/>
              <w:right w:val="single" w:sz="8" w:space="0" w:color="auto"/>
            </w:tcBorders>
            <w:shd w:val="clear" w:color="auto" w:fill="auto"/>
            <w:noWrap/>
            <w:vAlign w:val="center"/>
            <w:hideMark/>
          </w:tcPr>
          <w:p w:rsidR="00A44DBE" w:rsidRPr="006F315D" w:rsidRDefault="00A44DBE" w:rsidP="0038492E">
            <w:pPr>
              <w:spacing w:before="120" w:after="120" w:line="252" w:lineRule="auto"/>
              <w:jc w:val="right"/>
              <w:rPr>
                <w:b/>
                <w:bCs/>
                <w:color w:val="000000"/>
                <w:lang w:val="vi-VN" w:eastAsia="vi-VN"/>
              </w:rPr>
            </w:pPr>
            <w:r w:rsidRPr="006F315D">
              <w:rPr>
                <w:b/>
                <w:bCs/>
                <w:color w:val="000000"/>
                <w:sz w:val="22"/>
                <w:szCs w:val="22"/>
                <w:lang w:eastAsia="vi-VN"/>
              </w:rPr>
              <w:t>44.825</w:t>
            </w:r>
          </w:p>
        </w:tc>
      </w:tr>
      <w:tr w:rsidR="00A44DBE" w:rsidRPr="006F315D" w:rsidTr="00AB6170">
        <w:trPr>
          <w:trHeight w:val="960"/>
        </w:trPr>
        <w:tc>
          <w:tcPr>
            <w:tcW w:w="670" w:type="dxa"/>
            <w:tcBorders>
              <w:top w:val="nil"/>
              <w:left w:val="single" w:sz="8" w:space="0" w:color="auto"/>
              <w:bottom w:val="single" w:sz="8" w:space="0" w:color="auto"/>
              <w:right w:val="single" w:sz="8" w:space="0" w:color="auto"/>
            </w:tcBorders>
            <w:shd w:val="clear" w:color="auto" w:fill="auto"/>
            <w:noWrap/>
            <w:vAlign w:val="center"/>
            <w:hideMark/>
          </w:tcPr>
          <w:p w:rsidR="00A44DBE" w:rsidRPr="006F315D" w:rsidRDefault="00A44DBE" w:rsidP="0038492E">
            <w:pPr>
              <w:spacing w:before="120" w:after="120" w:line="252" w:lineRule="auto"/>
              <w:jc w:val="center"/>
              <w:rPr>
                <w:color w:val="000000"/>
                <w:lang w:val="vi-VN" w:eastAsia="vi-VN"/>
              </w:rPr>
            </w:pPr>
            <w:r w:rsidRPr="006F315D">
              <w:rPr>
                <w:color w:val="000000"/>
                <w:lang w:eastAsia="vi-VN"/>
              </w:rPr>
              <w:t>5</w:t>
            </w:r>
          </w:p>
        </w:tc>
        <w:tc>
          <w:tcPr>
            <w:tcW w:w="1813" w:type="dxa"/>
            <w:tcBorders>
              <w:top w:val="nil"/>
              <w:left w:val="nil"/>
              <w:bottom w:val="single" w:sz="8" w:space="0" w:color="auto"/>
              <w:right w:val="single" w:sz="8" w:space="0" w:color="auto"/>
            </w:tcBorders>
            <w:shd w:val="clear" w:color="auto" w:fill="auto"/>
            <w:vAlign w:val="center"/>
            <w:hideMark/>
          </w:tcPr>
          <w:p w:rsidR="00A44DBE" w:rsidRPr="006F315D" w:rsidRDefault="00A44DBE" w:rsidP="0038492E">
            <w:pPr>
              <w:spacing w:before="120" w:after="120" w:line="252" w:lineRule="auto"/>
              <w:rPr>
                <w:color w:val="000000"/>
                <w:lang w:val="vi-VN" w:eastAsia="vi-VN"/>
              </w:rPr>
            </w:pPr>
            <w:r w:rsidRPr="006F315D">
              <w:rPr>
                <w:color w:val="000000"/>
                <w:lang w:val="vi-VN" w:eastAsia="vi-VN"/>
              </w:rPr>
              <w:t>Tỷ lệ thu từ thuế BVMT so với GDP (%)</w:t>
            </w:r>
          </w:p>
        </w:tc>
        <w:tc>
          <w:tcPr>
            <w:tcW w:w="1176" w:type="dxa"/>
            <w:tcBorders>
              <w:top w:val="nil"/>
              <w:left w:val="nil"/>
              <w:bottom w:val="single" w:sz="8" w:space="0" w:color="auto"/>
              <w:right w:val="single" w:sz="8" w:space="0" w:color="auto"/>
            </w:tcBorders>
            <w:shd w:val="clear" w:color="auto" w:fill="auto"/>
            <w:noWrap/>
            <w:vAlign w:val="center"/>
            <w:hideMark/>
          </w:tcPr>
          <w:p w:rsidR="00A44DBE" w:rsidRPr="006F315D" w:rsidRDefault="00A44DBE" w:rsidP="0038492E">
            <w:pPr>
              <w:spacing w:before="120" w:after="120" w:line="252" w:lineRule="auto"/>
              <w:jc w:val="right"/>
              <w:rPr>
                <w:color w:val="000000"/>
                <w:lang w:val="vi-VN" w:eastAsia="vi-VN"/>
              </w:rPr>
            </w:pPr>
            <w:r w:rsidRPr="006F315D">
              <w:rPr>
                <w:color w:val="000000"/>
                <w:lang w:eastAsia="vi-VN"/>
              </w:rPr>
              <w:t>0,34</w:t>
            </w:r>
          </w:p>
        </w:tc>
        <w:tc>
          <w:tcPr>
            <w:tcW w:w="1176" w:type="dxa"/>
            <w:tcBorders>
              <w:top w:val="nil"/>
              <w:left w:val="nil"/>
              <w:bottom w:val="single" w:sz="8" w:space="0" w:color="auto"/>
              <w:right w:val="single" w:sz="8" w:space="0" w:color="auto"/>
            </w:tcBorders>
            <w:shd w:val="clear" w:color="auto" w:fill="auto"/>
            <w:noWrap/>
            <w:vAlign w:val="center"/>
            <w:hideMark/>
          </w:tcPr>
          <w:p w:rsidR="00A44DBE" w:rsidRPr="006F315D" w:rsidRDefault="00A44DBE" w:rsidP="0038492E">
            <w:pPr>
              <w:spacing w:before="120" w:after="120" w:line="252" w:lineRule="auto"/>
              <w:jc w:val="right"/>
              <w:rPr>
                <w:color w:val="000000"/>
                <w:lang w:val="vi-VN" w:eastAsia="vi-VN"/>
              </w:rPr>
            </w:pPr>
            <w:r w:rsidRPr="006F315D">
              <w:rPr>
                <w:color w:val="000000"/>
                <w:lang w:eastAsia="vi-VN"/>
              </w:rPr>
              <w:t>0,32</w:t>
            </w:r>
          </w:p>
        </w:tc>
        <w:tc>
          <w:tcPr>
            <w:tcW w:w="1176" w:type="dxa"/>
            <w:tcBorders>
              <w:top w:val="nil"/>
              <w:left w:val="nil"/>
              <w:bottom w:val="single" w:sz="8" w:space="0" w:color="auto"/>
              <w:right w:val="single" w:sz="8" w:space="0" w:color="auto"/>
            </w:tcBorders>
            <w:shd w:val="clear" w:color="auto" w:fill="auto"/>
            <w:noWrap/>
            <w:vAlign w:val="center"/>
            <w:hideMark/>
          </w:tcPr>
          <w:p w:rsidR="00A44DBE" w:rsidRPr="006F315D" w:rsidRDefault="00A44DBE" w:rsidP="0038492E">
            <w:pPr>
              <w:spacing w:before="120" w:after="120" w:line="252" w:lineRule="auto"/>
              <w:jc w:val="right"/>
              <w:rPr>
                <w:color w:val="000000"/>
                <w:lang w:val="vi-VN" w:eastAsia="vi-VN"/>
              </w:rPr>
            </w:pPr>
            <w:r w:rsidRPr="006F315D">
              <w:rPr>
                <w:color w:val="000000"/>
                <w:lang w:eastAsia="vi-VN"/>
              </w:rPr>
              <w:t>0,3</w:t>
            </w:r>
            <w:r w:rsidR="00615019">
              <w:rPr>
                <w:color w:val="000000"/>
                <w:lang w:eastAsia="vi-VN"/>
              </w:rPr>
              <w:t>0</w:t>
            </w:r>
          </w:p>
        </w:tc>
        <w:tc>
          <w:tcPr>
            <w:tcW w:w="1176" w:type="dxa"/>
            <w:tcBorders>
              <w:top w:val="nil"/>
              <w:left w:val="nil"/>
              <w:bottom w:val="single" w:sz="8" w:space="0" w:color="auto"/>
              <w:right w:val="single" w:sz="8" w:space="0" w:color="auto"/>
            </w:tcBorders>
            <w:shd w:val="clear" w:color="auto" w:fill="auto"/>
            <w:noWrap/>
            <w:vAlign w:val="center"/>
            <w:hideMark/>
          </w:tcPr>
          <w:p w:rsidR="00A44DBE" w:rsidRPr="006F315D" w:rsidRDefault="00A44DBE" w:rsidP="0038492E">
            <w:pPr>
              <w:spacing w:before="120" w:after="120" w:line="252" w:lineRule="auto"/>
              <w:jc w:val="right"/>
              <w:rPr>
                <w:color w:val="000000"/>
                <w:lang w:val="vi-VN" w:eastAsia="vi-VN"/>
              </w:rPr>
            </w:pPr>
            <w:r w:rsidRPr="006F315D">
              <w:rPr>
                <w:color w:val="000000"/>
                <w:lang w:eastAsia="vi-VN"/>
              </w:rPr>
              <w:t>0,64</w:t>
            </w:r>
          </w:p>
        </w:tc>
        <w:tc>
          <w:tcPr>
            <w:tcW w:w="1176" w:type="dxa"/>
            <w:tcBorders>
              <w:top w:val="nil"/>
              <w:left w:val="nil"/>
              <w:bottom w:val="single" w:sz="8" w:space="0" w:color="auto"/>
              <w:right w:val="single" w:sz="8" w:space="0" w:color="auto"/>
            </w:tcBorders>
            <w:shd w:val="clear" w:color="auto" w:fill="auto"/>
            <w:noWrap/>
            <w:vAlign w:val="center"/>
            <w:hideMark/>
          </w:tcPr>
          <w:p w:rsidR="00A44DBE" w:rsidRPr="006F315D" w:rsidRDefault="00A44DBE" w:rsidP="0038492E">
            <w:pPr>
              <w:spacing w:before="120" w:after="120" w:line="252" w:lineRule="auto"/>
              <w:jc w:val="right"/>
              <w:rPr>
                <w:color w:val="000000"/>
                <w:lang w:val="vi-VN" w:eastAsia="vi-VN"/>
              </w:rPr>
            </w:pPr>
            <w:r w:rsidRPr="006F315D">
              <w:rPr>
                <w:color w:val="000000"/>
                <w:lang w:eastAsia="vi-VN"/>
              </w:rPr>
              <w:t>0,98</w:t>
            </w:r>
          </w:p>
        </w:tc>
        <w:tc>
          <w:tcPr>
            <w:tcW w:w="1176" w:type="dxa"/>
            <w:tcBorders>
              <w:top w:val="nil"/>
              <w:left w:val="nil"/>
              <w:bottom w:val="single" w:sz="8" w:space="0" w:color="auto"/>
              <w:right w:val="single" w:sz="8" w:space="0" w:color="auto"/>
            </w:tcBorders>
            <w:shd w:val="clear" w:color="auto" w:fill="auto"/>
            <w:noWrap/>
            <w:vAlign w:val="center"/>
            <w:hideMark/>
          </w:tcPr>
          <w:p w:rsidR="00A44DBE" w:rsidRPr="006F315D" w:rsidRDefault="00A44DBE" w:rsidP="0038492E">
            <w:pPr>
              <w:spacing w:before="120" w:after="120" w:line="252" w:lineRule="auto"/>
              <w:jc w:val="right"/>
              <w:rPr>
                <w:color w:val="000000"/>
                <w:lang w:val="vi-VN" w:eastAsia="vi-VN"/>
              </w:rPr>
            </w:pPr>
            <w:r w:rsidRPr="006F315D">
              <w:rPr>
                <w:color w:val="000000"/>
                <w:lang w:val="vi-VN" w:eastAsia="vi-VN"/>
              </w:rPr>
              <w:t>0,90</w:t>
            </w:r>
          </w:p>
        </w:tc>
      </w:tr>
      <w:tr w:rsidR="00A44DBE" w:rsidRPr="006F315D" w:rsidTr="00AB6170">
        <w:trPr>
          <w:trHeight w:val="1275"/>
        </w:trPr>
        <w:tc>
          <w:tcPr>
            <w:tcW w:w="670" w:type="dxa"/>
            <w:tcBorders>
              <w:top w:val="nil"/>
              <w:left w:val="single" w:sz="8" w:space="0" w:color="auto"/>
              <w:bottom w:val="single" w:sz="8" w:space="0" w:color="auto"/>
              <w:right w:val="single" w:sz="8" w:space="0" w:color="auto"/>
            </w:tcBorders>
            <w:shd w:val="clear" w:color="auto" w:fill="auto"/>
            <w:noWrap/>
            <w:vAlign w:val="center"/>
            <w:hideMark/>
          </w:tcPr>
          <w:p w:rsidR="00A44DBE" w:rsidRPr="006F315D" w:rsidRDefault="00A44DBE" w:rsidP="0038492E">
            <w:pPr>
              <w:spacing w:before="120" w:after="120" w:line="252" w:lineRule="auto"/>
              <w:jc w:val="center"/>
              <w:rPr>
                <w:color w:val="000000"/>
                <w:lang w:val="vi-VN" w:eastAsia="vi-VN"/>
              </w:rPr>
            </w:pPr>
            <w:r w:rsidRPr="006F315D">
              <w:rPr>
                <w:color w:val="000000"/>
                <w:lang w:eastAsia="vi-VN"/>
              </w:rPr>
              <w:lastRenderedPageBreak/>
              <w:t>6</w:t>
            </w:r>
          </w:p>
        </w:tc>
        <w:tc>
          <w:tcPr>
            <w:tcW w:w="1813" w:type="dxa"/>
            <w:tcBorders>
              <w:top w:val="nil"/>
              <w:left w:val="nil"/>
              <w:bottom w:val="single" w:sz="8" w:space="0" w:color="auto"/>
              <w:right w:val="single" w:sz="8" w:space="0" w:color="auto"/>
            </w:tcBorders>
            <w:shd w:val="clear" w:color="auto" w:fill="auto"/>
            <w:vAlign w:val="center"/>
            <w:hideMark/>
          </w:tcPr>
          <w:p w:rsidR="00A44DBE" w:rsidRPr="006F315D" w:rsidRDefault="00A44DBE" w:rsidP="0038492E">
            <w:pPr>
              <w:spacing w:before="120" w:after="120" w:line="252" w:lineRule="auto"/>
              <w:rPr>
                <w:color w:val="000000"/>
                <w:lang w:val="vi-VN" w:eastAsia="vi-VN"/>
              </w:rPr>
            </w:pPr>
            <w:r w:rsidRPr="006F315D">
              <w:rPr>
                <w:color w:val="000000"/>
                <w:lang w:val="vi-VN" w:eastAsia="vi-VN"/>
              </w:rPr>
              <w:t>Tỷ lệ thu từ thuế BVMT so với tổng thu NSNN (%)</w:t>
            </w:r>
          </w:p>
        </w:tc>
        <w:tc>
          <w:tcPr>
            <w:tcW w:w="1176" w:type="dxa"/>
            <w:tcBorders>
              <w:top w:val="nil"/>
              <w:left w:val="nil"/>
              <w:bottom w:val="single" w:sz="8" w:space="0" w:color="auto"/>
              <w:right w:val="single" w:sz="8" w:space="0" w:color="auto"/>
            </w:tcBorders>
            <w:shd w:val="clear" w:color="auto" w:fill="auto"/>
            <w:noWrap/>
            <w:vAlign w:val="center"/>
            <w:hideMark/>
          </w:tcPr>
          <w:p w:rsidR="00A44DBE" w:rsidRPr="006F315D" w:rsidRDefault="00A44DBE" w:rsidP="0038492E">
            <w:pPr>
              <w:spacing w:before="120" w:after="120" w:line="252" w:lineRule="auto"/>
              <w:jc w:val="right"/>
              <w:rPr>
                <w:color w:val="000000"/>
                <w:lang w:val="vi-VN" w:eastAsia="vi-VN"/>
              </w:rPr>
            </w:pPr>
            <w:r w:rsidRPr="006F315D">
              <w:rPr>
                <w:color w:val="000000"/>
                <w:lang w:eastAsia="vi-VN"/>
              </w:rPr>
              <w:t>1,48</w:t>
            </w:r>
          </w:p>
        </w:tc>
        <w:tc>
          <w:tcPr>
            <w:tcW w:w="1176" w:type="dxa"/>
            <w:tcBorders>
              <w:top w:val="nil"/>
              <w:left w:val="nil"/>
              <w:bottom w:val="single" w:sz="8" w:space="0" w:color="auto"/>
              <w:right w:val="single" w:sz="8" w:space="0" w:color="auto"/>
            </w:tcBorders>
            <w:shd w:val="clear" w:color="auto" w:fill="auto"/>
            <w:noWrap/>
            <w:vAlign w:val="center"/>
            <w:hideMark/>
          </w:tcPr>
          <w:p w:rsidR="00A44DBE" w:rsidRPr="006F315D" w:rsidRDefault="00A44DBE" w:rsidP="0038492E">
            <w:pPr>
              <w:spacing w:before="120" w:after="120" w:line="252" w:lineRule="auto"/>
              <w:jc w:val="right"/>
              <w:rPr>
                <w:color w:val="000000"/>
                <w:lang w:val="vi-VN" w:eastAsia="vi-VN"/>
              </w:rPr>
            </w:pPr>
            <w:r w:rsidRPr="006F315D">
              <w:rPr>
                <w:color w:val="000000"/>
                <w:lang w:eastAsia="vi-VN"/>
              </w:rPr>
              <w:t>1,39</w:t>
            </w:r>
          </w:p>
        </w:tc>
        <w:tc>
          <w:tcPr>
            <w:tcW w:w="1176" w:type="dxa"/>
            <w:tcBorders>
              <w:top w:val="nil"/>
              <w:left w:val="nil"/>
              <w:bottom w:val="single" w:sz="8" w:space="0" w:color="auto"/>
              <w:right w:val="single" w:sz="8" w:space="0" w:color="auto"/>
            </w:tcBorders>
            <w:shd w:val="clear" w:color="auto" w:fill="auto"/>
            <w:noWrap/>
            <w:vAlign w:val="center"/>
            <w:hideMark/>
          </w:tcPr>
          <w:p w:rsidR="00A44DBE" w:rsidRPr="006F315D" w:rsidRDefault="00A44DBE" w:rsidP="0038492E">
            <w:pPr>
              <w:spacing w:before="120" w:after="120" w:line="252" w:lineRule="auto"/>
              <w:jc w:val="right"/>
              <w:rPr>
                <w:color w:val="000000"/>
                <w:lang w:val="vi-VN" w:eastAsia="vi-VN"/>
              </w:rPr>
            </w:pPr>
            <w:r w:rsidRPr="006F315D">
              <w:rPr>
                <w:color w:val="000000"/>
                <w:lang w:eastAsia="vi-VN"/>
              </w:rPr>
              <w:t>1,36</w:t>
            </w:r>
          </w:p>
        </w:tc>
        <w:tc>
          <w:tcPr>
            <w:tcW w:w="1176" w:type="dxa"/>
            <w:tcBorders>
              <w:top w:val="nil"/>
              <w:left w:val="nil"/>
              <w:bottom w:val="single" w:sz="8" w:space="0" w:color="auto"/>
              <w:right w:val="single" w:sz="8" w:space="0" w:color="auto"/>
            </w:tcBorders>
            <w:shd w:val="clear" w:color="auto" w:fill="auto"/>
            <w:noWrap/>
            <w:vAlign w:val="center"/>
            <w:hideMark/>
          </w:tcPr>
          <w:p w:rsidR="00A44DBE" w:rsidRPr="006F315D" w:rsidRDefault="00A44DBE" w:rsidP="0038492E">
            <w:pPr>
              <w:spacing w:before="120" w:after="120" w:line="252" w:lineRule="auto"/>
              <w:jc w:val="right"/>
              <w:rPr>
                <w:color w:val="000000"/>
                <w:lang w:val="vi-VN" w:eastAsia="vi-VN"/>
              </w:rPr>
            </w:pPr>
            <w:r w:rsidRPr="006F315D">
              <w:rPr>
                <w:color w:val="000000"/>
                <w:lang w:eastAsia="vi-VN"/>
              </w:rPr>
              <w:t>2,71</w:t>
            </w:r>
          </w:p>
        </w:tc>
        <w:tc>
          <w:tcPr>
            <w:tcW w:w="1176" w:type="dxa"/>
            <w:tcBorders>
              <w:top w:val="nil"/>
              <w:left w:val="nil"/>
              <w:bottom w:val="single" w:sz="8" w:space="0" w:color="auto"/>
              <w:right w:val="single" w:sz="8" w:space="0" w:color="auto"/>
            </w:tcBorders>
            <w:shd w:val="clear" w:color="auto" w:fill="auto"/>
            <w:noWrap/>
            <w:vAlign w:val="center"/>
            <w:hideMark/>
          </w:tcPr>
          <w:p w:rsidR="00A44DBE" w:rsidRPr="006F315D" w:rsidRDefault="00A44DBE" w:rsidP="0038492E">
            <w:pPr>
              <w:spacing w:before="120" w:after="120" w:line="252" w:lineRule="auto"/>
              <w:jc w:val="right"/>
              <w:rPr>
                <w:color w:val="000000"/>
                <w:lang w:val="vi-VN" w:eastAsia="vi-VN"/>
              </w:rPr>
            </w:pPr>
            <w:r w:rsidRPr="006F315D">
              <w:rPr>
                <w:color w:val="000000"/>
                <w:lang w:eastAsia="vi-VN"/>
              </w:rPr>
              <w:t>4,27</w:t>
            </w:r>
          </w:p>
        </w:tc>
        <w:tc>
          <w:tcPr>
            <w:tcW w:w="1176" w:type="dxa"/>
            <w:tcBorders>
              <w:top w:val="nil"/>
              <w:left w:val="nil"/>
              <w:bottom w:val="single" w:sz="8" w:space="0" w:color="auto"/>
              <w:right w:val="single" w:sz="8" w:space="0" w:color="auto"/>
            </w:tcBorders>
            <w:shd w:val="clear" w:color="auto" w:fill="auto"/>
            <w:noWrap/>
            <w:vAlign w:val="center"/>
            <w:hideMark/>
          </w:tcPr>
          <w:p w:rsidR="00A44DBE" w:rsidRPr="006F315D" w:rsidRDefault="00A44DBE" w:rsidP="0038492E">
            <w:pPr>
              <w:spacing w:before="120" w:after="120" w:line="252" w:lineRule="auto"/>
              <w:jc w:val="right"/>
              <w:rPr>
                <w:color w:val="000000"/>
                <w:lang w:val="vi-VN" w:eastAsia="vi-VN"/>
              </w:rPr>
            </w:pPr>
            <w:r w:rsidRPr="006F315D">
              <w:rPr>
                <w:color w:val="000000"/>
                <w:lang w:val="vi-VN" w:eastAsia="vi-VN"/>
              </w:rPr>
              <w:t>3,70</w:t>
            </w:r>
          </w:p>
        </w:tc>
      </w:tr>
      <w:tr w:rsidR="00A44DBE" w:rsidRPr="006F315D" w:rsidTr="00AB6170">
        <w:trPr>
          <w:trHeight w:val="1275"/>
        </w:trPr>
        <w:tc>
          <w:tcPr>
            <w:tcW w:w="670" w:type="dxa"/>
            <w:tcBorders>
              <w:top w:val="nil"/>
              <w:left w:val="single" w:sz="8" w:space="0" w:color="auto"/>
              <w:bottom w:val="single" w:sz="8" w:space="0" w:color="auto"/>
              <w:right w:val="single" w:sz="8" w:space="0" w:color="auto"/>
            </w:tcBorders>
            <w:shd w:val="clear" w:color="auto" w:fill="auto"/>
            <w:noWrap/>
            <w:vAlign w:val="center"/>
            <w:hideMark/>
          </w:tcPr>
          <w:p w:rsidR="00A44DBE" w:rsidRPr="006F315D" w:rsidRDefault="00A44DBE" w:rsidP="0038492E">
            <w:pPr>
              <w:spacing w:before="120" w:after="120" w:line="252" w:lineRule="auto"/>
              <w:jc w:val="center"/>
              <w:rPr>
                <w:color w:val="000000"/>
                <w:lang w:val="vi-VN" w:eastAsia="vi-VN"/>
              </w:rPr>
            </w:pPr>
            <w:r w:rsidRPr="006F315D">
              <w:rPr>
                <w:color w:val="000000"/>
                <w:lang w:eastAsia="vi-VN"/>
              </w:rPr>
              <w:t>7</w:t>
            </w:r>
          </w:p>
        </w:tc>
        <w:tc>
          <w:tcPr>
            <w:tcW w:w="1813" w:type="dxa"/>
            <w:tcBorders>
              <w:top w:val="nil"/>
              <w:left w:val="nil"/>
              <w:bottom w:val="single" w:sz="8" w:space="0" w:color="auto"/>
              <w:right w:val="single" w:sz="8" w:space="0" w:color="auto"/>
            </w:tcBorders>
            <w:shd w:val="clear" w:color="auto" w:fill="auto"/>
            <w:vAlign w:val="center"/>
            <w:hideMark/>
          </w:tcPr>
          <w:p w:rsidR="00A44DBE" w:rsidRPr="006F315D" w:rsidRDefault="00A44DBE" w:rsidP="0038492E">
            <w:pPr>
              <w:spacing w:before="120" w:after="120" w:line="252" w:lineRule="auto"/>
              <w:rPr>
                <w:color w:val="000000"/>
                <w:lang w:val="vi-VN" w:eastAsia="vi-VN"/>
              </w:rPr>
            </w:pPr>
            <w:r w:rsidRPr="006F315D">
              <w:rPr>
                <w:color w:val="000000"/>
                <w:lang w:val="vi-VN" w:eastAsia="vi-VN"/>
              </w:rPr>
              <w:t>Tỷ lệ thu từ thuế BVMT so với tổng thu thuế nội địa (%)</w:t>
            </w:r>
          </w:p>
        </w:tc>
        <w:tc>
          <w:tcPr>
            <w:tcW w:w="1176" w:type="dxa"/>
            <w:tcBorders>
              <w:top w:val="nil"/>
              <w:left w:val="nil"/>
              <w:bottom w:val="single" w:sz="8" w:space="0" w:color="auto"/>
              <w:right w:val="single" w:sz="8" w:space="0" w:color="auto"/>
            </w:tcBorders>
            <w:shd w:val="clear" w:color="auto" w:fill="auto"/>
            <w:noWrap/>
            <w:vAlign w:val="center"/>
            <w:hideMark/>
          </w:tcPr>
          <w:p w:rsidR="00A44DBE" w:rsidRPr="006F315D" w:rsidRDefault="00A44DBE" w:rsidP="0038492E">
            <w:pPr>
              <w:spacing w:before="120" w:after="120" w:line="252" w:lineRule="auto"/>
              <w:jc w:val="right"/>
              <w:rPr>
                <w:color w:val="000000"/>
                <w:lang w:val="vi-VN" w:eastAsia="vi-VN"/>
              </w:rPr>
            </w:pPr>
            <w:r w:rsidRPr="006F315D">
              <w:rPr>
                <w:color w:val="000000"/>
                <w:lang w:eastAsia="vi-VN"/>
              </w:rPr>
              <w:t>2,64</w:t>
            </w:r>
          </w:p>
        </w:tc>
        <w:tc>
          <w:tcPr>
            <w:tcW w:w="1176" w:type="dxa"/>
            <w:tcBorders>
              <w:top w:val="nil"/>
              <w:left w:val="nil"/>
              <w:bottom w:val="single" w:sz="8" w:space="0" w:color="auto"/>
              <w:right w:val="single" w:sz="8" w:space="0" w:color="auto"/>
            </w:tcBorders>
            <w:shd w:val="clear" w:color="auto" w:fill="auto"/>
            <w:noWrap/>
            <w:vAlign w:val="center"/>
            <w:hideMark/>
          </w:tcPr>
          <w:p w:rsidR="00A44DBE" w:rsidRPr="006F315D" w:rsidRDefault="00A44DBE" w:rsidP="0038492E">
            <w:pPr>
              <w:spacing w:before="120" w:after="120" w:line="252" w:lineRule="auto"/>
              <w:jc w:val="right"/>
              <w:rPr>
                <w:color w:val="000000"/>
                <w:lang w:val="vi-VN" w:eastAsia="vi-VN"/>
              </w:rPr>
            </w:pPr>
            <w:r w:rsidRPr="006F315D">
              <w:rPr>
                <w:color w:val="000000"/>
                <w:lang w:eastAsia="vi-VN"/>
              </w:rPr>
              <w:t>2,24</w:t>
            </w:r>
          </w:p>
        </w:tc>
        <w:tc>
          <w:tcPr>
            <w:tcW w:w="1176" w:type="dxa"/>
            <w:tcBorders>
              <w:top w:val="nil"/>
              <w:left w:val="nil"/>
              <w:bottom w:val="single" w:sz="8" w:space="0" w:color="auto"/>
              <w:right w:val="single" w:sz="8" w:space="0" w:color="auto"/>
            </w:tcBorders>
            <w:shd w:val="clear" w:color="auto" w:fill="auto"/>
            <w:noWrap/>
            <w:vAlign w:val="center"/>
            <w:hideMark/>
          </w:tcPr>
          <w:p w:rsidR="00A44DBE" w:rsidRPr="006F315D" w:rsidRDefault="00A44DBE" w:rsidP="0038492E">
            <w:pPr>
              <w:spacing w:before="120" w:after="120" w:line="252" w:lineRule="auto"/>
              <w:jc w:val="right"/>
              <w:rPr>
                <w:color w:val="000000"/>
                <w:lang w:val="vi-VN" w:eastAsia="vi-VN"/>
              </w:rPr>
            </w:pPr>
            <w:r w:rsidRPr="006F315D">
              <w:rPr>
                <w:color w:val="000000"/>
                <w:lang w:eastAsia="vi-VN"/>
              </w:rPr>
              <w:t>2,22</w:t>
            </w:r>
          </w:p>
        </w:tc>
        <w:tc>
          <w:tcPr>
            <w:tcW w:w="1176" w:type="dxa"/>
            <w:tcBorders>
              <w:top w:val="nil"/>
              <w:left w:val="nil"/>
              <w:bottom w:val="single" w:sz="8" w:space="0" w:color="auto"/>
              <w:right w:val="single" w:sz="8" w:space="0" w:color="auto"/>
            </w:tcBorders>
            <w:shd w:val="clear" w:color="auto" w:fill="auto"/>
            <w:noWrap/>
            <w:vAlign w:val="center"/>
            <w:hideMark/>
          </w:tcPr>
          <w:p w:rsidR="00A44DBE" w:rsidRPr="006F315D" w:rsidRDefault="00A44DBE" w:rsidP="0038492E">
            <w:pPr>
              <w:spacing w:before="120" w:after="120" w:line="252" w:lineRule="auto"/>
              <w:jc w:val="right"/>
              <w:rPr>
                <w:color w:val="000000"/>
                <w:lang w:val="vi-VN" w:eastAsia="vi-VN"/>
              </w:rPr>
            </w:pPr>
            <w:r w:rsidRPr="006F315D">
              <w:rPr>
                <w:color w:val="000000"/>
                <w:lang w:eastAsia="vi-VN"/>
              </w:rPr>
              <w:t>3,65</w:t>
            </w:r>
          </w:p>
        </w:tc>
        <w:tc>
          <w:tcPr>
            <w:tcW w:w="1176" w:type="dxa"/>
            <w:tcBorders>
              <w:top w:val="nil"/>
              <w:left w:val="nil"/>
              <w:bottom w:val="single" w:sz="8" w:space="0" w:color="auto"/>
              <w:right w:val="single" w:sz="8" w:space="0" w:color="auto"/>
            </w:tcBorders>
            <w:shd w:val="clear" w:color="auto" w:fill="auto"/>
            <w:noWrap/>
            <w:vAlign w:val="center"/>
            <w:hideMark/>
          </w:tcPr>
          <w:p w:rsidR="00A44DBE" w:rsidRPr="006F315D" w:rsidRDefault="00A44DBE" w:rsidP="0038492E">
            <w:pPr>
              <w:spacing w:before="120" w:after="120" w:line="252" w:lineRule="auto"/>
              <w:jc w:val="right"/>
              <w:rPr>
                <w:color w:val="000000"/>
                <w:lang w:val="vi-VN" w:eastAsia="vi-VN"/>
              </w:rPr>
            </w:pPr>
            <w:r w:rsidRPr="006F315D">
              <w:rPr>
                <w:color w:val="000000"/>
                <w:lang w:eastAsia="vi-VN"/>
              </w:rPr>
              <w:t>5,35</w:t>
            </w:r>
          </w:p>
        </w:tc>
        <w:tc>
          <w:tcPr>
            <w:tcW w:w="1176" w:type="dxa"/>
            <w:tcBorders>
              <w:top w:val="nil"/>
              <w:left w:val="nil"/>
              <w:bottom w:val="single" w:sz="8" w:space="0" w:color="auto"/>
              <w:right w:val="single" w:sz="8" w:space="0" w:color="auto"/>
            </w:tcBorders>
            <w:shd w:val="clear" w:color="auto" w:fill="auto"/>
            <w:noWrap/>
            <w:vAlign w:val="center"/>
            <w:hideMark/>
          </w:tcPr>
          <w:p w:rsidR="00A44DBE" w:rsidRPr="006F315D" w:rsidRDefault="00A44DBE" w:rsidP="0038492E">
            <w:pPr>
              <w:spacing w:before="120" w:after="120" w:line="252" w:lineRule="auto"/>
              <w:jc w:val="right"/>
              <w:rPr>
                <w:color w:val="000000"/>
                <w:lang w:val="vi-VN" w:eastAsia="vi-VN"/>
              </w:rPr>
            </w:pPr>
            <w:r w:rsidRPr="006F315D">
              <w:rPr>
                <w:color w:val="000000"/>
                <w:lang w:val="vi-VN" w:eastAsia="vi-VN"/>
              </w:rPr>
              <w:t>4,53</w:t>
            </w:r>
          </w:p>
        </w:tc>
      </w:tr>
    </w:tbl>
    <w:p w:rsidR="00B8146F" w:rsidRPr="006F315D" w:rsidRDefault="00B8146F" w:rsidP="00B8146F">
      <w:pPr>
        <w:spacing w:before="120" w:after="120" w:line="252" w:lineRule="auto"/>
        <w:jc w:val="right"/>
        <w:rPr>
          <w:i/>
          <w:lang w:val="pt-BR"/>
        </w:rPr>
      </w:pPr>
      <w:r w:rsidRPr="006F315D">
        <w:rPr>
          <w:i/>
          <w:lang w:val="pt-BR"/>
        </w:rPr>
        <w:t>(Nguồn: Bộ Tài chính)</w:t>
      </w:r>
    </w:p>
    <w:p w:rsidR="00615019" w:rsidRPr="00615019" w:rsidRDefault="00615019" w:rsidP="00DF3E56">
      <w:pPr>
        <w:spacing w:before="60" w:after="60" w:line="264" w:lineRule="auto"/>
        <w:ind w:firstLine="567"/>
        <w:jc w:val="both"/>
        <w:rPr>
          <w:rFonts w:asciiTheme="majorHAnsi" w:hAnsiTheme="majorHAnsi" w:cstheme="majorHAnsi"/>
          <w:bCs/>
          <w:sz w:val="10"/>
          <w:szCs w:val="28"/>
          <w:lang w:val="pt-BR"/>
        </w:rPr>
      </w:pPr>
    </w:p>
    <w:p w:rsidR="00DF310E" w:rsidRPr="006F315D" w:rsidRDefault="008C2C60" w:rsidP="00DF3E56">
      <w:pPr>
        <w:spacing w:before="60" w:after="60" w:line="264" w:lineRule="auto"/>
        <w:ind w:firstLine="567"/>
        <w:jc w:val="both"/>
        <w:rPr>
          <w:rFonts w:asciiTheme="majorHAnsi" w:hAnsiTheme="majorHAnsi" w:cstheme="majorHAnsi"/>
          <w:bCs/>
          <w:sz w:val="28"/>
          <w:szCs w:val="28"/>
          <w:lang w:val="pt-BR"/>
        </w:rPr>
      </w:pPr>
      <w:r>
        <w:rPr>
          <w:rFonts w:asciiTheme="majorHAnsi" w:hAnsiTheme="majorHAnsi" w:cstheme="majorHAnsi"/>
          <w:bCs/>
          <w:sz w:val="28"/>
          <w:szCs w:val="28"/>
          <w:lang w:val="pt-BR"/>
        </w:rPr>
        <w:t>Số liệu tại Biểu n</w:t>
      </w:r>
      <w:r w:rsidRPr="008C2C60">
        <w:rPr>
          <w:rFonts w:asciiTheme="majorHAnsi" w:hAnsiTheme="majorHAnsi" w:cstheme="majorHAnsi"/>
          <w:bCs/>
          <w:sz w:val="28"/>
          <w:szCs w:val="28"/>
          <w:lang w:val="pt-BR"/>
        </w:rPr>
        <w:t>ê</w:t>
      </w:r>
      <w:r>
        <w:rPr>
          <w:rFonts w:asciiTheme="majorHAnsi" w:hAnsiTheme="majorHAnsi" w:cstheme="majorHAnsi"/>
          <w:bCs/>
          <w:sz w:val="28"/>
          <w:szCs w:val="28"/>
          <w:lang w:val="pt-BR"/>
        </w:rPr>
        <w:t>u tr</w:t>
      </w:r>
      <w:r w:rsidRPr="008C2C60">
        <w:rPr>
          <w:rFonts w:asciiTheme="majorHAnsi" w:hAnsiTheme="majorHAnsi" w:cstheme="majorHAnsi"/>
          <w:bCs/>
          <w:sz w:val="28"/>
          <w:szCs w:val="28"/>
          <w:lang w:val="pt-BR"/>
        </w:rPr>
        <w:t>ê</w:t>
      </w:r>
      <w:r>
        <w:rPr>
          <w:rFonts w:asciiTheme="majorHAnsi" w:hAnsiTheme="majorHAnsi" w:cstheme="majorHAnsi"/>
          <w:bCs/>
          <w:sz w:val="28"/>
          <w:szCs w:val="28"/>
          <w:lang w:val="pt-BR"/>
        </w:rPr>
        <w:t xml:space="preserve">n </w:t>
      </w:r>
      <w:r w:rsidR="000033A1" w:rsidRPr="006F315D">
        <w:rPr>
          <w:rFonts w:asciiTheme="majorHAnsi" w:hAnsiTheme="majorHAnsi" w:cstheme="majorHAnsi"/>
          <w:bCs/>
          <w:sz w:val="28"/>
          <w:szCs w:val="28"/>
          <w:lang w:val="pt-BR"/>
        </w:rPr>
        <w:t xml:space="preserve">cho thấy, </w:t>
      </w:r>
      <w:r w:rsidR="00DF310E" w:rsidRPr="006F315D">
        <w:rPr>
          <w:rFonts w:asciiTheme="majorHAnsi" w:hAnsiTheme="majorHAnsi" w:cstheme="majorHAnsi"/>
          <w:bCs/>
          <w:sz w:val="28"/>
          <w:szCs w:val="28"/>
          <w:lang w:val="pt-BR"/>
        </w:rPr>
        <w:t>số thu từ thuế BVMT liên tục tăng ổn định qua các năm từ năm 2012 đến năm 201</w:t>
      </w:r>
      <w:r w:rsidR="000033A1" w:rsidRPr="006F315D">
        <w:rPr>
          <w:rFonts w:asciiTheme="majorHAnsi" w:hAnsiTheme="majorHAnsi" w:cstheme="majorHAnsi"/>
          <w:bCs/>
          <w:sz w:val="28"/>
          <w:szCs w:val="28"/>
          <w:lang w:val="pt-BR"/>
        </w:rPr>
        <w:t>7</w:t>
      </w:r>
      <w:r w:rsidR="00DF310E" w:rsidRPr="006F315D">
        <w:rPr>
          <w:rFonts w:asciiTheme="majorHAnsi" w:hAnsiTheme="majorHAnsi" w:cstheme="majorHAnsi"/>
          <w:bCs/>
          <w:sz w:val="28"/>
          <w:szCs w:val="28"/>
          <w:lang w:val="pt-BR"/>
        </w:rPr>
        <w:t xml:space="preserve"> (tổng số thu thuế BVMT năm 2012 là </w:t>
      </w:r>
      <w:r w:rsidR="000033A1" w:rsidRPr="006F315D">
        <w:rPr>
          <w:rFonts w:asciiTheme="majorHAnsi" w:hAnsiTheme="majorHAnsi" w:cstheme="majorHAnsi"/>
          <w:bCs/>
          <w:sz w:val="28"/>
          <w:szCs w:val="28"/>
          <w:lang w:val="pt-BR"/>
        </w:rPr>
        <w:t xml:space="preserve">khoảng </w:t>
      </w:r>
      <w:r w:rsidR="00DF310E" w:rsidRPr="006F315D">
        <w:rPr>
          <w:rFonts w:asciiTheme="majorHAnsi" w:hAnsiTheme="majorHAnsi" w:cstheme="majorHAnsi"/>
          <w:bCs/>
          <w:sz w:val="28"/>
          <w:szCs w:val="28"/>
          <w:lang w:val="pt-BR"/>
        </w:rPr>
        <w:t xml:space="preserve">11.160  tỷ đồng, năm 2013 là </w:t>
      </w:r>
      <w:r w:rsidR="000033A1" w:rsidRPr="006F315D">
        <w:rPr>
          <w:rFonts w:asciiTheme="majorHAnsi" w:hAnsiTheme="majorHAnsi" w:cstheme="majorHAnsi"/>
          <w:bCs/>
          <w:sz w:val="28"/>
          <w:szCs w:val="28"/>
          <w:lang w:val="pt-BR"/>
        </w:rPr>
        <w:t xml:space="preserve">khoảng </w:t>
      </w:r>
      <w:r w:rsidR="00DF310E" w:rsidRPr="006F315D">
        <w:rPr>
          <w:rFonts w:asciiTheme="majorHAnsi" w:hAnsiTheme="majorHAnsi" w:cstheme="majorHAnsi"/>
          <w:bCs/>
          <w:sz w:val="28"/>
          <w:szCs w:val="28"/>
          <w:lang w:val="pt-BR"/>
        </w:rPr>
        <w:t xml:space="preserve">11.512 tỷ đồng, năm 2014 là </w:t>
      </w:r>
      <w:r w:rsidR="000033A1" w:rsidRPr="006F315D">
        <w:rPr>
          <w:rFonts w:asciiTheme="majorHAnsi" w:hAnsiTheme="majorHAnsi" w:cstheme="majorHAnsi"/>
          <w:bCs/>
          <w:sz w:val="28"/>
          <w:szCs w:val="28"/>
          <w:lang w:val="pt-BR"/>
        </w:rPr>
        <w:t xml:space="preserve">khoảng </w:t>
      </w:r>
      <w:r w:rsidR="00DF310E" w:rsidRPr="006F315D">
        <w:rPr>
          <w:rFonts w:asciiTheme="majorHAnsi" w:hAnsiTheme="majorHAnsi" w:cstheme="majorHAnsi"/>
          <w:bCs/>
          <w:sz w:val="28"/>
          <w:szCs w:val="28"/>
          <w:lang w:val="pt-BR"/>
        </w:rPr>
        <w:t>11.970 tỷ đồng</w:t>
      </w:r>
      <w:r w:rsidR="000033A1" w:rsidRPr="006F315D">
        <w:rPr>
          <w:rFonts w:asciiTheme="majorHAnsi" w:hAnsiTheme="majorHAnsi" w:cstheme="majorHAnsi"/>
          <w:bCs/>
          <w:sz w:val="28"/>
          <w:szCs w:val="28"/>
          <w:lang w:val="pt-BR"/>
        </w:rPr>
        <w:t xml:space="preserve">, năm 2015 là khoảng 27.020 tỷ đồng, </w:t>
      </w:r>
      <w:r w:rsidR="00DF310E" w:rsidRPr="006F315D">
        <w:rPr>
          <w:rFonts w:asciiTheme="majorHAnsi" w:hAnsiTheme="majorHAnsi" w:cstheme="majorHAnsi"/>
          <w:bCs/>
          <w:sz w:val="28"/>
          <w:szCs w:val="28"/>
          <w:lang w:val="pt-BR"/>
        </w:rPr>
        <w:t xml:space="preserve">năm 2016 </w:t>
      </w:r>
      <w:r w:rsidR="000033A1" w:rsidRPr="006F315D">
        <w:rPr>
          <w:rFonts w:asciiTheme="majorHAnsi" w:hAnsiTheme="majorHAnsi" w:cstheme="majorHAnsi"/>
          <w:bCs/>
          <w:sz w:val="28"/>
          <w:szCs w:val="28"/>
          <w:lang w:val="pt-BR"/>
        </w:rPr>
        <w:t xml:space="preserve">là </w:t>
      </w:r>
      <w:r w:rsidR="00DF310E" w:rsidRPr="006F315D">
        <w:rPr>
          <w:rFonts w:asciiTheme="majorHAnsi" w:hAnsiTheme="majorHAnsi" w:cstheme="majorHAnsi"/>
          <w:bCs/>
          <w:sz w:val="28"/>
          <w:szCs w:val="28"/>
          <w:lang w:val="pt-BR"/>
        </w:rPr>
        <w:t>khoảng 44.323 tỷ đồng</w:t>
      </w:r>
      <w:r w:rsidR="000033A1" w:rsidRPr="006F315D">
        <w:rPr>
          <w:rFonts w:asciiTheme="majorHAnsi" w:hAnsiTheme="majorHAnsi" w:cstheme="majorHAnsi"/>
          <w:bCs/>
          <w:sz w:val="28"/>
          <w:szCs w:val="28"/>
          <w:lang w:val="pt-BR"/>
        </w:rPr>
        <w:t xml:space="preserve"> và năm 2017 là khoảng </w:t>
      </w:r>
      <w:r w:rsidR="000033A1" w:rsidRPr="006F315D">
        <w:rPr>
          <w:rFonts w:asciiTheme="majorHAnsi" w:hAnsiTheme="majorHAnsi" w:cstheme="majorHAnsi"/>
          <w:bCs/>
          <w:sz w:val="28"/>
          <w:szCs w:val="28"/>
          <w:lang w:val="pt-BR" w:eastAsia="vi-VN"/>
        </w:rPr>
        <w:t>44.825 tỷ đồng</w:t>
      </w:r>
      <w:r w:rsidR="00DF310E" w:rsidRPr="006F315D">
        <w:rPr>
          <w:rFonts w:asciiTheme="majorHAnsi" w:hAnsiTheme="majorHAnsi" w:cstheme="majorHAnsi"/>
          <w:bCs/>
          <w:sz w:val="28"/>
          <w:szCs w:val="28"/>
          <w:lang w:val="pt-BR"/>
        </w:rPr>
        <w:t>), chiếm tỷ trọng khoảng 1,36%-4,27% tổng thu NSNN và chiếm tỷ trọng khoảng 0,3</w:t>
      </w:r>
      <w:r w:rsidR="00615019">
        <w:rPr>
          <w:rFonts w:asciiTheme="majorHAnsi" w:hAnsiTheme="majorHAnsi" w:cstheme="majorHAnsi"/>
          <w:bCs/>
          <w:sz w:val="28"/>
          <w:szCs w:val="28"/>
          <w:lang w:val="pt-BR"/>
        </w:rPr>
        <w:t>0</w:t>
      </w:r>
      <w:r w:rsidR="00DF310E" w:rsidRPr="006F315D">
        <w:rPr>
          <w:rFonts w:asciiTheme="majorHAnsi" w:hAnsiTheme="majorHAnsi" w:cstheme="majorHAnsi"/>
          <w:bCs/>
          <w:sz w:val="28"/>
          <w:szCs w:val="28"/>
          <w:lang w:val="pt-BR"/>
        </w:rPr>
        <w:t xml:space="preserve">%-0,98% trên GDP hàng năm; </w:t>
      </w:r>
      <w:r>
        <w:rPr>
          <w:rFonts w:asciiTheme="majorHAnsi" w:hAnsiTheme="majorHAnsi" w:cstheme="majorHAnsi"/>
          <w:bCs/>
          <w:sz w:val="28"/>
          <w:szCs w:val="28"/>
          <w:lang w:val="pt-BR"/>
        </w:rPr>
        <w:t>t</w:t>
      </w:r>
      <w:r w:rsidRPr="008C2C60">
        <w:rPr>
          <w:rFonts w:asciiTheme="majorHAnsi" w:hAnsiTheme="majorHAnsi" w:cstheme="majorHAnsi"/>
          <w:bCs/>
          <w:sz w:val="28"/>
          <w:szCs w:val="28"/>
          <w:lang w:val="pt-BR"/>
        </w:rPr>
        <w:t>ừ</w:t>
      </w:r>
      <w:r>
        <w:rPr>
          <w:rFonts w:asciiTheme="majorHAnsi" w:hAnsiTheme="majorHAnsi" w:cstheme="majorHAnsi"/>
          <w:bCs/>
          <w:sz w:val="28"/>
          <w:szCs w:val="28"/>
          <w:lang w:val="pt-BR"/>
        </w:rPr>
        <w:t xml:space="preserve"> </w:t>
      </w:r>
      <w:r w:rsidRPr="008C2C60">
        <w:rPr>
          <w:rFonts w:asciiTheme="majorHAnsi" w:hAnsiTheme="majorHAnsi" w:cstheme="majorHAnsi"/>
          <w:bCs/>
          <w:sz w:val="28"/>
          <w:szCs w:val="28"/>
          <w:lang w:val="pt-BR"/>
        </w:rPr>
        <w:t>đó</w:t>
      </w:r>
      <w:r w:rsidR="00DF310E" w:rsidRPr="006F315D">
        <w:rPr>
          <w:rFonts w:asciiTheme="majorHAnsi" w:hAnsiTheme="majorHAnsi" w:cstheme="majorHAnsi"/>
          <w:bCs/>
          <w:sz w:val="28"/>
          <w:szCs w:val="28"/>
          <w:lang w:val="pt-BR"/>
        </w:rPr>
        <w:t>, góp phần chuyển dịch cơ cấu thu NSNN theo hướng bền vững, tăng tỷ trọng thu nội địa từ 59% (giai đoạn 2006-2010)</w:t>
      </w:r>
      <w:r w:rsidR="000D038B">
        <w:rPr>
          <w:rFonts w:asciiTheme="majorHAnsi" w:hAnsiTheme="majorHAnsi" w:cstheme="majorHAnsi"/>
          <w:bCs/>
          <w:sz w:val="28"/>
          <w:szCs w:val="28"/>
          <w:lang w:val="pt-BR"/>
        </w:rPr>
        <w:t xml:space="preserve"> lên 68% (giai đoạn 2011-2015) </w:t>
      </w:r>
      <w:r w:rsidR="00DF310E" w:rsidRPr="006F315D">
        <w:rPr>
          <w:rFonts w:asciiTheme="majorHAnsi" w:hAnsiTheme="majorHAnsi" w:cstheme="majorHAnsi"/>
          <w:bCs/>
          <w:sz w:val="28"/>
          <w:szCs w:val="28"/>
          <w:lang w:val="pt-BR"/>
        </w:rPr>
        <w:t xml:space="preserve">tổng thu NSNN theo đúng định hướng Chiến lược cải cách hệ thống thuế đến năm 2020 là tăng dần tỷ trọng nguồn thu trong nước. </w:t>
      </w:r>
    </w:p>
    <w:p w:rsidR="00DF310E" w:rsidRPr="006F315D" w:rsidRDefault="00DF310E" w:rsidP="00DF3E56">
      <w:pPr>
        <w:spacing w:before="60" w:after="60" w:line="264" w:lineRule="auto"/>
        <w:ind w:firstLine="567"/>
        <w:jc w:val="both"/>
        <w:rPr>
          <w:rFonts w:asciiTheme="majorHAnsi" w:hAnsiTheme="majorHAnsi" w:cstheme="majorHAnsi"/>
          <w:bCs/>
          <w:sz w:val="28"/>
          <w:szCs w:val="28"/>
          <w:lang w:val="pt-BR"/>
        </w:rPr>
      </w:pPr>
      <w:r w:rsidRPr="006F315D">
        <w:rPr>
          <w:rFonts w:asciiTheme="majorHAnsi" w:hAnsiTheme="majorHAnsi" w:cstheme="majorHAnsi"/>
          <w:bCs/>
          <w:sz w:val="28"/>
          <w:szCs w:val="28"/>
          <w:lang w:val="pt-BR"/>
        </w:rPr>
        <w:t xml:space="preserve"> Như vậy, số thu từ thuế BVMT tăng liên tục qua các năm đã góp phần ổn định nguồn thu thuế nội địa trong giai đoạn t</w:t>
      </w:r>
      <w:r w:rsidR="00E52749" w:rsidRPr="006F315D">
        <w:rPr>
          <w:rFonts w:asciiTheme="majorHAnsi" w:hAnsiTheme="majorHAnsi" w:cstheme="majorHAnsi"/>
          <w:bCs/>
          <w:sz w:val="28"/>
          <w:szCs w:val="28"/>
          <w:lang w:val="pt-BR"/>
        </w:rPr>
        <w:t>hu ngân sách gặp nhiều khó khăn do phải</w:t>
      </w:r>
      <w:r w:rsidRPr="006F315D">
        <w:rPr>
          <w:rFonts w:asciiTheme="majorHAnsi" w:hAnsiTheme="majorHAnsi" w:cstheme="majorHAnsi"/>
          <w:bCs/>
          <w:sz w:val="28"/>
          <w:szCs w:val="28"/>
          <w:lang w:val="pt-BR"/>
        </w:rPr>
        <w:t xml:space="preserve"> cắt giảm mức thuế nhập khẩu theo các cam kết quốc tế.</w:t>
      </w:r>
    </w:p>
    <w:p w:rsidR="00DF310E" w:rsidRPr="006F315D" w:rsidRDefault="00DF310E" w:rsidP="00DF3E56">
      <w:pPr>
        <w:spacing w:before="60" w:after="60" w:line="264" w:lineRule="auto"/>
        <w:ind w:firstLine="567"/>
        <w:jc w:val="both"/>
        <w:rPr>
          <w:sz w:val="28"/>
          <w:szCs w:val="28"/>
          <w:lang w:val="pt-BR"/>
        </w:rPr>
      </w:pPr>
      <w:r w:rsidRPr="006F315D">
        <w:rPr>
          <w:sz w:val="28"/>
          <w:szCs w:val="28"/>
          <w:lang w:val="pt-BR"/>
        </w:rPr>
        <w:t>b) Việc sử dụng nguồn thu từ thuế BVMT</w:t>
      </w:r>
    </w:p>
    <w:p w:rsidR="00DF310E" w:rsidRPr="006F315D" w:rsidRDefault="00DF310E" w:rsidP="00DF3E56">
      <w:pPr>
        <w:spacing w:before="60" w:after="60" w:line="264" w:lineRule="auto"/>
        <w:ind w:firstLine="567"/>
        <w:jc w:val="both"/>
        <w:rPr>
          <w:snapToGrid w:val="0"/>
          <w:sz w:val="28"/>
          <w:szCs w:val="28"/>
          <w:lang w:val="pt-BR"/>
        </w:rPr>
      </w:pPr>
      <w:r w:rsidRPr="006F315D">
        <w:rPr>
          <w:snapToGrid w:val="0"/>
          <w:sz w:val="28"/>
          <w:szCs w:val="28"/>
          <w:lang w:val="pt-BR"/>
        </w:rPr>
        <w:t>Khoản thu từ thuế BVMT không phải là khoản thu mang tính đối giá và hoàn trả trực tiếp, không quy định sử dụng cho các nhiệm vụ chi cụ thể mà để thực hiện các nhiệm vụ chi theo quy định của Luật NSNN và được Quốc hội phê duyệt hàng năm.</w:t>
      </w:r>
    </w:p>
    <w:p w:rsidR="00847DE0" w:rsidRPr="006F315D" w:rsidRDefault="00DF310E" w:rsidP="00DF3E56">
      <w:pPr>
        <w:spacing w:before="60" w:after="60" w:line="264" w:lineRule="auto"/>
        <w:ind w:firstLine="567"/>
        <w:jc w:val="both"/>
        <w:rPr>
          <w:sz w:val="28"/>
          <w:szCs w:val="28"/>
          <w:lang w:val="pt-BR"/>
        </w:rPr>
      </w:pPr>
      <w:r w:rsidRPr="006F315D">
        <w:rPr>
          <w:snapToGrid w:val="0"/>
          <w:sz w:val="28"/>
          <w:szCs w:val="28"/>
          <w:lang w:val="pt-BR"/>
        </w:rPr>
        <w:t>Luật NSNN quy định các khoản thu từ thuế, phí, lệ phí và các khoản thu khác theo quy định của pháp luật được tổng hợp đầy đủ vào cân đối NSNN, theo nguyên tắc không gắn với nhiệm vụ chi cụ thể.</w:t>
      </w:r>
    </w:p>
    <w:p w:rsidR="00847DE0" w:rsidRPr="006F315D" w:rsidRDefault="00DF310E" w:rsidP="00DF3E56">
      <w:pPr>
        <w:spacing w:before="60" w:after="60" w:line="264" w:lineRule="auto"/>
        <w:ind w:firstLine="567"/>
        <w:jc w:val="both"/>
        <w:rPr>
          <w:sz w:val="28"/>
          <w:szCs w:val="28"/>
          <w:lang w:val="pt-BR"/>
        </w:rPr>
      </w:pPr>
      <w:r w:rsidRPr="006F315D">
        <w:rPr>
          <w:rFonts w:asciiTheme="majorHAnsi" w:hAnsiTheme="majorHAnsi" w:cstheme="majorHAnsi"/>
          <w:sz w:val="28"/>
          <w:szCs w:val="28"/>
          <w:lang w:val="nl-NL"/>
        </w:rPr>
        <w:t xml:space="preserve">Tổng chi NSNN cho các nhiệm vụ BVMT giai đoạn 2012-2016 (bao gồm cả các khoản vay, viện trợ đã đưa vào NSNN để chi thường xuyên cho BVMT hoặc chi đầu tư phát triển BVMT; chưa tính chi các hoạt động kinh tế, chi đầu tư phát triển, chi dự phòng của ngân sách địa phương (NSĐP) cho các nhiệm vụ BVMT và các khoản vay, viện trợ chi trực tiếp cho dự án về BVMT không </w:t>
      </w:r>
      <w:r w:rsidR="00615019">
        <w:rPr>
          <w:rFonts w:asciiTheme="majorHAnsi" w:hAnsiTheme="majorHAnsi" w:cstheme="majorHAnsi"/>
          <w:sz w:val="28"/>
          <w:szCs w:val="28"/>
          <w:lang w:val="nl-NL"/>
        </w:rPr>
        <w:lastRenderedPageBreak/>
        <w:t xml:space="preserve">đưa </w:t>
      </w:r>
      <w:r w:rsidRPr="006F315D">
        <w:rPr>
          <w:rFonts w:asciiTheme="majorHAnsi" w:hAnsiTheme="majorHAnsi" w:cstheme="majorHAnsi"/>
          <w:sz w:val="28"/>
          <w:szCs w:val="28"/>
          <w:lang w:val="nl-NL"/>
        </w:rPr>
        <w:t>vào</w:t>
      </w:r>
      <w:r w:rsidR="00615019">
        <w:rPr>
          <w:rFonts w:asciiTheme="majorHAnsi" w:hAnsiTheme="majorHAnsi" w:cstheme="majorHAnsi"/>
          <w:sz w:val="28"/>
          <w:szCs w:val="28"/>
          <w:lang w:val="nl-NL"/>
        </w:rPr>
        <w:t xml:space="preserve"> </w:t>
      </w:r>
      <w:r w:rsidRPr="006F315D">
        <w:rPr>
          <w:rFonts w:asciiTheme="majorHAnsi" w:hAnsiTheme="majorHAnsi" w:cstheme="majorHAnsi"/>
          <w:sz w:val="28"/>
          <w:szCs w:val="28"/>
          <w:lang w:val="nl-NL"/>
        </w:rPr>
        <w:t>NSNN) khoảng 131.857 tỷ đồng, bình quân k</w:t>
      </w:r>
      <w:r w:rsidRPr="006F315D">
        <w:rPr>
          <w:rFonts w:asciiTheme="majorHAnsi" w:eastAsia="Calibri" w:hAnsiTheme="majorHAnsi" w:cstheme="majorHAnsi"/>
          <w:sz w:val="28"/>
          <w:szCs w:val="28"/>
          <w:lang w:val="nl-NL"/>
        </w:rPr>
        <w:t>hoảng 26.371 tỷ đồng/năm</w:t>
      </w:r>
      <w:r w:rsidRPr="006F315D">
        <w:rPr>
          <w:rFonts w:asciiTheme="majorHAnsi" w:hAnsiTheme="majorHAnsi" w:cstheme="majorHAnsi"/>
          <w:sz w:val="28"/>
          <w:szCs w:val="28"/>
          <w:lang w:val="nl-NL"/>
        </w:rPr>
        <w:t xml:space="preserve">, </w:t>
      </w:r>
      <w:r w:rsidRPr="006F315D">
        <w:rPr>
          <w:rFonts w:asciiTheme="majorHAnsi" w:eastAsia="Calibri" w:hAnsiTheme="majorHAnsi" w:cstheme="majorHAnsi"/>
          <w:sz w:val="28"/>
          <w:szCs w:val="28"/>
          <w:lang w:val="nl-NL"/>
        </w:rPr>
        <w:t xml:space="preserve">cao hơn số thu thuế </w:t>
      </w:r>
      <w:r w:rsidRPr="006F315D">
        <w:rPr>
          <w:rFonts w:asciiTheme="majorHAnsi" w:hAnsiTheme="majorHAnsi" w:cstheme="majorHAnsi"/>
          <w:sz w:val="28"/>
          <w:szCs w:val="28"/>
          <w:lang w:val="nl-NL"/>
        </w:rPr>
        <w:t>BVMT</w:t>
      </w:r>
      <w:r w:rsidRPr="006F315D">
        <w:rPr>
          <w:rFonts w:asciiTheme="majorHAnsi" w:eastAsia="Calibri" w:hAnsiTheme="majorHAnsi" w:cstheme="majorHAnsi"/>
          <w:sz w:val="28"/>
          <w:szCs w:val="28"/>
          <w:lang w:val="nl-NL"/>
        </w:rPr>
        <w:t xml:space="preserve"> giai đoạn 2012-2016.</w:t>
      </w:r>
      <w:r w:rsidRPr="006F315D">
        <w:rPr>
          <w:rFonts w:asciiTheme="majorHAnsi" w:hAnsiTheme="majorHAnsi" w:cstheme="majorHAnsi"/>
          <w:sz w:val="28"/>
          <w:szCs w:val="28"/>
          <w:lang w:val="nl-NL"/>
        </w:rPr>
        <w:t xml:space="preserve"> Trong đó:</w:t>
      </w:r>
    </w:p>
    <w:p w:rsidR="00847DE0" w:rsidRPr="006F315D" w:rsidRDefault="00DF310E" w:rsidP="00DF3E56">
      <w:pPr>
        <w:spacing w:before="60" w:after="60" w:line="264" w:lineRule="auto"/>
        <w:ind w:firstLine="567"/>
        <w:jc w:val="both"/>
        <w:rPr>
          <w:sz w:val="28"/>
          <w:szCs w:val="28"/>
          <w:lang w:val="nl-NL"/>
        </w:rPr>
      </w:pPr>
      <w:r w:rsidRPr="006F315D">
        <w:rPr>
          <w:rFonts w:asciiTheme="majorHAnsi" w:hAnsiTheme="majorHAnsi" w:cstheme="majorHAnsi"/>
          <w:sz w:val="28"/>
          <w:szCs w:val="28"/>
          <w:lang w:val="nl-NL"/>
        </w:rPr>
        <w:t xml:space="preserve">- Tổng số chi thường xuyên cho BVMT khoảng </w:t>
      </w:r>
      <w:r w:rsidRPr="006F315D">
        <w:rPr>
          <w:rFonts w:asciiTheme="majorHAnsi" w:hAnsiTheme="majorHAnsi" w:cstheme="majorHAnsi"/>
          <w:i/>
          <w:sz w:val="28"/>
          <w:szCs w:val="28"/>
          <w:lang w:val="nl-NL"/>
        </w:rPr>
        <w:t>89.131</w:t>
      </w:r>
      <w:r w:rsidRPr="006F315D">
        <w:rPr>
          <w:rFonts w:asciiTheme="majorHAnsi" w:hAnsiTheme="majorHAnsi" w:cstheme="majorHAnsi"/>
          <w:sz w:val="28"/>
          <w:szCs w:val="28"/>
          <w:lang w:val="nl-NL"/>
        </w:rPr>
        <w:t xml:space="preserve"> tỷ đồng, gồm:</w:t>
      </w:r>
    </w:p>
    <w:p w:rsidR="00847DE0" w:rsidRPr="006F315D" w:rsidRDefault="00DF310E" w:rsidP="00DF3E56">
      <w:pPr>
        <w:spacing w:before="60" w:after="60" w:line="264" w:lineRule="auto"/>
        <w:ind w:firstLine="567"/>
        <w:jc w:val="both"/>
        <w:rPr>
          <w:sz w:val="28"/>
          <w:szCs w:val="28"/>
          <w:lang w:val="nl-NL"/>
        </w:rPr>
      </w:pPr>
      <w:r w:rsidRPr="006F315D">
        <w:rPr>
          <w:rFonts w:asciiTheme="majorHAnsi" w:hAnsiTheme="majorHAnsi" w:cstheme="majorHAnsi"/>
          <w:sz w:val="28"/>
          <w:szCs w:val="28"/>
          <w:lang w:val="nl-NL"/>
        </w:rPr>
        <w:t xml:space="preserve">+ Chi thường xuyên từ NSNN (NSTW và NSĐP) bố trí trực tiếp cho sự nghiệp BVMT (không quá 1% </w:t>
      </w:r>
      <w:r w:rsidRPr="006F315D">
        <w:rPr>
          <w:sz w:val="28"/>
          <w:szCs w:val="28"/>
          <w:lang w:val="nl-NL"/>
        </w:rPr>
        <w:t>tổng chi NSNN</w:t>
      </w:r>
      <w:r w:rsidRPr="006F315D">
        <w:rPr>
          <w:rFonts w:asciiTheme="majorHAnsi" w:hAnsiTheme="majorHAnsi" w:cstheme="majorHAnsi"/>
          <w:sz w:val="28"/>
          <w:szCs w:val="28"/>
          <w:lang w:val="nl-NL"/>
        </w:rPr>
        <w:t xml:space="preserve">) khoảng 52.420 tỷ đồng; </w:t>
      </w:r>
    </w:p>
    <w:p w:rsidR="00847DE0" w:rsidRPr="006F315D" w:rsidRDefault="00DF310E" w:rsidP="00DF3E56">
      <w:pPr>
        <w:spacing w:before="60" w:after="60" w:line="264" w:lineRule="auto"/>
        <w:ind w:firstLine="567"/>
        <w:jc w:val="both"/>
        <w:rPr>
          <w:sz w:val="28"/>
          <w:szCs w:val="28"/>
          <w:lang w:val="nl-NL"/>
        </w:rPr>
      </w:pPr>
      <w:r w:rsidRPr="006F315D">
        <w:rPr>
          <w:rFonts w:asciiTheme="majorHAnsi" w:hAnsiTheme="majorHAnsi" w:cstheme="majorHAnsi"/>
          <w:sz w:val="28"/>
          <w:szCs w:val="28"/>
          <w:lang w:val="nl-NL"/>
        </w:rPr>
        <w:t>+ Chi các hoạt động kinh tế của NSTW (</w:t>
      </w:r>
      <w:r w:rsidRPr="006F315D">
        <w:rPr>
          <w:rFonts w:eastAsia="Calibri"/>
          <w:sz w:val="28"/>
          <w:szCs w:val="28"/>
          <w:lang w:val="nl-NL"/>
        </w:rPr>
        <w:t>gồm chi thực hiện các dự án điều tra, đánh giá về đất đai, địa chất khoáng sản, tài nguyên nước, biển và hải đảo,… bố trí trong dự toán chi NSNN hàng năm của Bộ Tài nguyên và Môi trường; chi thực hiện Chương trình mục tiêu quốc gia ứng phó với biến đổi khí hậu (2012-2016), Chương trình mục tiêu quốc gia sử dụng năng lượng tiết kiệm và hiệu quả (2012-2016), Chương trình mục tiêu phát triển lâm nghiệp bền vững (2016); chi thực hiện các chính sách quản lý sử dụng đất trồng lúa, phát triển rừng, quản lý khai thác gỗ rừng tự nhiên, hỗ trợ khai thác, nuôi trồng hải sản, duy tu đê điều, khuyến nông, công ích thủy nông</w:t>
      </w:r>
      <w:r w:rsidRPr="006F315D">
        <w:rPr>
          <w:rFonts w:asciiTheme="majorHAnsi" w:hAnsiTheme="majorHAnsi" w:cstheme="majorHAnsi"/>
          <w:sz w:val="28"/>
          <w:szCs w:val="28"/>
          <w:lang w:val="nl-NL"/>
        </w:rPr>
        <w:t>) khoảng 36.711 tỷ đồng.</w:t>
      </w:r>
    </w:p>
    <w:p w:rsidR="00847DE0" w:rsidRPr="006F315D" w:rsidRDefault="00DF310E" w:rsidP="00DF3E56">
      <w:pPr>
        <w:spacing w:before="60" w:after="60" w:line="264" w:lineRule="auto"/>
        <w:ind w:firstLine="567"/>
        <w:jc w:val="both"/>
        <w:rPr>
          <w:sz w:val="28"/>
          <w:szCs w:val="28"/>
          <w:lang w:val="nl-NL"/>
        </w:rPr>
      </w:pPr>
      <w:r w:rsidRPr="006F315D">
        <w:rPr>
          <w:rFonts w:asciiTheme="majorHAnsi" w:hAnsiTheme="majorHAnsi" w:cstheme="majorHAnsi"/>
          <w:sz w:val="28"/>
          <w:szCs w:val="28"/>
          <w:lang w:val="nl-NL"/>
        </w:rPr>
        <w:t xml:space="preserve">- Tổng chi đầu tư phát triển của NSTW </w:t>
      </w:r>
      <w:r w:rsidRPr="006F315D">
        <w:rPr>
          <w:rFonts w:eastAsia="Calibri"/>
          <w:sz w:val="28"/>
          <w:szCs w:val="28"/>
          <w:lang w:val="nl-NL"/>
        </w:rPr>
        <w:t xml:space="preserve">(chi cho các chương trình, dự án theo ngành, lĩnh vực quản lý tập trung ở 02 ngành: ngành tài nguyên và môi trường và ngành cấp nước và xử lý rác thải, nước thải và chi lồng ghép từ nhiều chương trình như Chương trình nước sạch và vệ sinh nông thôn, Chương trình khắc phục ô nhiễm và cải thiện môi trường, Chương trình ứng phó với biến đổi khí hậu,...) </w:t>
      </w:r>
      <w:r w:rsidRPr="006F315D">
        <w:rPr>
          <w:rFonts w:asciiTheme="majorHAnsi" w:hAnsiTheme="majorHAnsi" w:cstheme="majorHAnsi"/>
          <w:sz w:val="28"/>
          <w:szCs w:val="28"/>
          <w:lang w:val="nl-NL"/>
        </w:rPr>
        <w:t xml:space="preserve">khoảng </w:t>
      </w:r>
      <w:r w:rsidRPr="006F315D">
        <w:rPr>
          <w:rFonts w:asciiTheme="majorHAnsi" w:hAnsiTheme="majorHAnsi" w:cstheme="majorHAnsi"/>
          <w:i/>
          <w:sz w:val="28"/>
          <w:szCs w:val="28"/>
          <w:lang w:val="nl-NL"/>
        </w:rPr>
        <w:t>24.246</w:t>
      </w:r>
      <w:r w:rsidRPr="006F315D">
        <w:rPr>
          <w:rFonts w:asciiTheme="majorHAnsi" w:hAnsiTheme="majorHAnsi" w:cstheme="majorHAnsi"/>
          <w:sz w:val="28"/>
          <w:szCs w:val="28"/>
          <w:lang w:val="nl-NL"/>
        </w:rPr>
        <w:t xml:space="preserve"> tỷ đồng.</w:t>
      </w:r>
    </w:p>
    <w:p w:rsidR="00847DE0" w:rsidRPr="006F315D" w:rsidRDefault="00DF310E" w:rsidP="00DF3E56">
      <w:pPr>
        <w:spacing w:before="60" w:after="60" w:line="264" w:lineRule="auto"/>
        <w:ind w:firstLine="567"/>
        <w:jc w:val="both"/>
        <w:rPr>
          <w:sz w:val="28"/>
          <w:szCs w:val="28"/>
          <w:lang w:val="nl-NL"/>
        </w:rPr>
      </w:pPr>
      <w:r w:rsidRPr="006F315D">
        <w:rPr>
          <w:sz w:val="28"/>
          <w:szCs w:val="28"/>
          <w:lang w:val="nl-NL"/>
        </w:rPr>
        <w:t xml:space="preserve">- Tổng chi từ </w:t>
      </w:r>
      <w:r w:rsidRPr="006F315D">
        <w:rPr>
          <w:rFonts w:asciiTheme="majorHAnsi" w:eastAsia="Calibri" w:hAnsiTheme="majorHAnsi" w:cstheme="majorHAnsi"/>
          <w:sz w:val="28"/>
          <w:szCs w:val="28"/>
          <w:lang w:val="nl-NL"/>
        </w:rPr>
        <w:t xml:space="preserve">dự phòng </w:t>
      </w:r>
      <w:r w:rsidRPr="006F315D">
        <w:rPr>
          <w:rFonts w:asciiTheme="majorHAnsi" w:hAnsiTheme="majorHAnsi" w:cstheme="majorHAnsi"/>
          <w:sz w:val="28"/>
          <w:szCs w:val="28"/>
          <w:lang w:val="nl-NL"/>
        </w:rPr>
        <w:t>NSTW</w:t>
      </w:r>
      <w:r w:rsidRPr="006F315D">
        <w:rPr>
          <w:rFonts w:asciiTheme="majorHAnsi" w:eastAsia="Calibri" w:hAnsiTheme="majorHAnsi" w:cstheme="majorHAnsi"/>
          <w:sz w:val="28"/>
          <w:szCs w:val="28"/>
          <w:lang w:val="nl-NL"/>
        </w:rPr>
        <w:t xml:space="preserve"> để phòng, chống, khắc phục hậu quả thiên tai, hỗ trợ các địa phương xử lý các nhiệm vụ đột xuất, cấp bách trong năm như đê kè, hồ chứa,... khoảng </w:t>
      </w:r>
      <w:r w:rsidRPr="006F315D">
        <w:rPr>
          <w:rFonts w:asciiTheme="majorHAnsi" w:eastAsia="Calibri" w:hAnsiTheme="majorHAnsi" w:cstheme="majorHAnsi"/>
          <w:i/>
          <w:sz w:val="28"/>
          <w:szCs w:val="28"/>
          <w:lang w:val="nl-NL"/>
        </w:rPr>
        <w:t>18.480</w:t>
      </w:r>
      <w:r w:rsidRPr="006F315D">
        <w:rPr>
          <w:rFonts w:asciiTheme="majorHAnsi" w:eastAsia="Calibri" w:hAnsiTheme="majorHAnsi" w:cstheme="majorHAnsi"/>
          <w:sz w:val="28"/>
          <w:szCs w:val="28"/>
          <w:lang w:val="nl-NL"/>
        </w:rPr>
        <w:t xml:space="preserve"> tỷ đồng.</w:t>
      </w:r>
    </w:p>
    <w:p w:rsidR="00847DE0" w:rsidRPr="006F315D" w:rsidRDefault="00DF310E" w:rsidP="00DF3E56">
      <w:pPr>
        <w:spacing w:before="60" w:after="60" w:line="264" w:lineRule="auto"/>
        <w:ind w:firstLine="567"/>
        <w:jc w:val="both"/>
        <w:rPr>
          <w:sz w:val="28"/>
          <w:szCs w:val="28"/>
          <w:lang w:val="nl-NL"/>
        </w:rPr>
      </w:pPr>
      <w:r w:rsidRPr="006F315D">
        <w:rPr>
          <w:rFonts w:asciiTheme="majorHAnsi" w:eastAsia="Calibri" w:hAnsiTheme="majorHAnsi" w:cstheme="majorHAnsi"/>
          <w:sz w:val="28"/>
          <w:szCs w:val="28"/>
          <w:lang w:val="nl-NL"/>
        </w:rPr>
        <w:t>Ngoài ra còn một số nội dung, nhiệm vụ do NSNN chi trả góp phần BVMT như: các dự án, chương trình khoa học công nghệ ứng dụng công nghệ xanh, bền vững,...</w:t>
      </w:r>
    </w:p>
    <w:p w:rsidR="00847DE0" w:rsidRPr="006F315D" w:rsidRDefault="00DF310E" w:rsidP="00DF3E56">
      <w:pPr>
        <w:spacing w:before="60" w:after="60" w:line="264" w:lineRule="auto"/>
        <w:ind w:firstLine="567"/>
        <w:jc w:val="both"/>
        <w:rPr>
          <w:rStyle w:val="apple-converted-space"/>
          <w:sz w:val="28"/>
          <w:szCs w:val="28"/>
          <w:lang w:val="pt-BR"/>
        </w:rPr>
      </w:pPr>
      <w:r w:rsidRPr="006F315D">
        <w:rPr>
          <w:rFonts w:asciiTheme="majorHAnsi" w:hAnsiTheme="majorHAnsi" w:cstheme="majorHAnsi"/>
          <w:bCs/>
          <w:sz w:val="28"/>
          <w:szCs w:val="28"/>
          <w:lang w:val="pt-BR"/>
        </w:rPr>
        <w:t>Theo đó, thực hiện chính sách thuế BVMT đã góp phần động viên hợp lý đóng góp của xã hội, tạo thêm nguồn thu cho NSNN để giải quyết vấn đề môi trường với nhu cầu ngày càng tăng.</w:t>
      </w:r>
    </w:p>
    <w:p w:rsidR="00DB71B6" w:rsidRPr="006F315D" w:rsidRDefault="00DF310E" w:rsidP="00DF3E56">
      <w:pPr>
        <w:spacing w:before="60" w:after="60" w:line="264" w:lineRule="auto"/>
        <w:ind w:firstLine="567"/>
        <w:jc w:val="both"/>
        <w:rPr>
          <w:rFonts w:asciiTheme="majorHAnsi" w:hAnsiTheme="majorHAnsi" w:cstheme="majorHAnsi"/>
          <w:sz w:val="28"/>
          <w:szCs w:val="28"/>
          <w:lang w:val="pt-BR"/>
        </w:rPr>
      </w:pPr>
      <w:r w:rsidRPr="006F315D">
        <w:rPr>
          <w:rFonts w:asciiTheme="majorHAnsi" w:hAnsiTheme="majorHAnsi" w:cstheme="majorHAnsi"/>
          <w:sz w:val="28"/>
          <w:szCs w:val="28"/>
          <w:lang w:val="pt-BR"/>
        </w:rPr>
        <w:t xml:space="preserve">Như vậy, với vai trò là một công cụ kinh tế, thuế BVMT thể hiện định hướng, điều tiết của Nhà nước đối với việc tiêu dùng một số sản phẩm, hàng hóa gây ô nhiễm môi trường. Qua </w:t>
      </w:r>
      <w:r w:rsidR="000A7806" w:rsidRPr="006F315D">
        <w:rPr>
          <w:rFonts w:asciiTheme="majorHAnsi" w:hAnsiTheme="majorHAnsi" w:cstheme="majorHAnsi"/>
          <w:sz w:val="28"/>
          <w:szCs w:val="28"/>
          <w:lang w:val="pt-BR"/>
        </w:rPr>
        <w:t xml:space="preserve">hơn </w:t>
      </w:r>
      <w:r w:rsidR="00615019">
        <w:rPr>
          <w:rFonts w:asciiTheme="majorHAnsi" w:hAnsiTheme="majorHAnsi" w:cstheme="majorHAnsi"/>
          <w:sz w:val="28"/>
          <w:szCs w:val="28"/>
          <w:lang w:val="pt-BR"/>
        </w:rPr>
        <w:t>6</w:t>
      </w:r>
      <w:r w:rsidRPr="006F315D">
        <w:rPr>
          <w:rFonts w:asciiTheme="majorHAnsi" w:hAnsiTheme="majorHAnsi" w:cstheme="majorHAnsi"/>
          <w:sz w:val="28"/>
          <w:szCs w:val="28"/>
          <w:lang w:val="pt-BR"/>
        </w:rPr>
        <w:t xml:space="preserve"> năm triển khai thực hiện, chính sách thuế BVMT </w:t>
      </w:r>
      <w:r w:rsidR="00615019">
        <w:rPr>
          <w:rFonts w:asciiTheme="majorHAnsi" w:hAnsiTheme="majorHAnsi" w:cstheme="majorHAnsi"/>
          <w:sz w:val="28"/>
          <w:szCs w:val="28"/>
          <w:lang w:val="pt-BR"/>
        </w:rPr>
        <w:t>n</w:t>
      </w:r>
      <w:r w:rsidR="00615019" w:rsidRPr="00615019">
        <w:rPr>
          <w:rFonts w:asciiTheme="majorHAnsi" w:hAnsiTheme="majorHAnsi" w:cstheme="majorHAnsi"/>
          <w:sz w:val="28"/>
          <w:szCs w:val="28"/>
          <w:lang w:val="pt-BR"/>
        </w:rPr>
        <w:t>ói</w:t>
      </w:r>
      <w:r w:rsidR="00615019">
        <w:rPr>
          <w:rFonts w:asciiTheme="majorHAnsi" w:hAnsiTheme="majorHAnsi" w:cstheme="majorHAnsi"/>
          <w:sz w:val="28"/>
          <w:szCs w:val="28"/>
          <w:lang w:val="pt-BR"/>
        </w:rPr>
        <w:t xml:space="preserve"> chung v</w:t>
      </w:r>
      <w:r w:rsidR="00615019" w:rsidRPr="00615019">
        <w:rPr>
          <w:rFonts w:asciiTheme="majorHAnsi" w:hAnsiTheme="majorHAnsi" w:cstheme="majorHAnsi"/>
          <w:sz w:val="28"/>
          <w:szCs w:val="28"/>
          <w:lang w:val="pt-BR"/>
        </w:rPr>
        <w:t>à</w:t>
      </w:r>
      <w:r w:rsidR="00615019">
        <w:rPr>
          <w:rFonts w:asciiTheme="majorHAnsi" w:hAnsiTheme="majorHAnsi" w:cstheme="majorHAnsi"/>
          <w:sz w:val="28"/>
          <w:szCs w:val="28"/>
          <w:lang w:val="pt-BR"/>
        </w:rPr>
        <w:t xml:space="preserve"> quy </w:t>
      </w:r>
      <w:r w:rsidR="00615019" w:rsidRPr="00615019">
        <w:rPr>
          <w:rFonts w:asciiTheme="majorHAnsi" w:hAnsiTheme="majorHAnsi" w:cstheme="majorHAnsi"/>
          <w:sz w:val="28"/>
          <w:szCs w:val="28"/>
          <w:lang w:val="pt-BR"/>
        </w:rPr>
        <w:t>địn</w:t>
      </w:r>
      <w:r w:rsidR="00615019">
        <w:rPr>
          <w:rFonts w:asciiTheme="majorHAnsi" w:hAnsiTheme="majorHAnsi" w:cstheme="majorHAnsi"/>
          <w:sz w:val="28"/>
          <w:szCs w:val="28"/>
          <w:lang w:val="pt-BR"/>
        </w:rPr>
        <w:t>h v</w:t>
      </w:r>
      <w:r w:rsidR="00615019" w:rsidRPr="00615019">
        <w:rPr>
          <w:rFonts w:asciiTheme="majorHAnsi" w:hAnsiTheme="majorHAnsi" w:cstheme="majorHAnsi"/>
          <w:sz w:val="28"/>
          <w:szCs w:val="28"/>
          <w:lang w:val="pt-BR"/>
        </w:rPr>
        <w:t>ề</w:t>
      </w:r>
      <w:r w:rsidR="00615019">
        <w:rPr>
          <w:rFonts w:asciiTheme="majorHAnsi" w:hAnsiTheme="majorHAnsi" w:cstheme="majorHAnsi"/>
          <w:sz w:val="28"/>
          <w:szCs w:val="28"/>
          <w:lang w:val="pt-BR"/>
        </w:rPr>
        <w:t xml:space="preserve"> m</w:t>
      </w:r>
      <w:r w:rsidR="00615019" w:rsidRPr="00615019">
        <w:rPr>
          <w:rFonts w:asciiTheme="majorHAnsi" w:hAnsiTheme="majorHAnsi" w:cstheme="majorHAnsi"/>
          <w:sz w:val="28"/>
          <w:szCs w:val="28"/>
          <w:lang w:val="pt-BR"/>
        </w:rPr>
        <w:t>ức</w:t>
      </w:r>
      <w:r w:rsidR="00615019">
        <w:rPr>
          <w:rFonts w:asciiTheme="majorHAnsi" w:hAnsiTheme="majorHAnsi" w:cstheme="majorHAnsi"/>
          <w:sz w:val="28"/>
          <w:szCs w:val="28"/>
          <w:lang w:val="pt-BR"/>
        </w:rPr>
        <w:t xml:space="preserve"> thu</w:t>
      </w:r>
      <w:r w:rsidR="00615019" w:rsidRPr="00615019">
        <w:rPr>
          <w:rFonts w:asciiTheme="majorHAnsi" w:hAnsiTheme="majorHAnsi" w:cstheme="majorHAnsi"/>
          <w:sz w:val="28"/>
          <w:szCs w:val="28"/>
          <w:lang w:val="pt-BR"/>
        </w:rPr>
        <w:t>ế</w:t>
      </w:r>
      <w:r w:rsidR="00615019">
        <w:rPr>
          <w:rFonts w:asciiTheme="majorHAnsi" w:hAnsiTheme="majorHAnsi" w:cstheme="majorHAnsi"/>
          <w:sz w:val="28"/>
          <w:szCs w:val="28"/>
          <w:lang w:val="pt-BR"/>
        </w:rPr>
        <w:t xml:space="preserve"> BVMT n</w:t>
      </w:r>
      <w:r w:rsidR="00615019" w:rsidRPr="00615019">
        <w:rPr>
          <w:rFonts w:asciiTheme="majorHAnsi" w:hAnsiTheme="majorHAnsi" w:cstheme="majorHAnsi"/>
          <w:sz w:val="28"/>
          <w:szCs w:val="28"/>
          <w:lang w:val="pt-BR"/>
        </w:rPr>
        <w:t>ó</w:t>
      </w:r>
      <w:r w:rsidR="00615019">
        <w:rPr>
          <w:rFonts w:asciiTheme="majorHAnsi" w:hAnsiTheme="majorHAnsi" w:cstheme="majorHAnsi"/>
          <w:sz w:val="28"/>
          <w:szCs w:val="28"/>
          <w:lang w:val="pt-BR"/>
        </w:rPr>
        <w:t>i ri</w:t>
      </w:r>
      <w:r w:rsidR="00615019" w:rsidRPr="00615019">
        <w:rPr>
          <w:rFonts w:asciiTheme="majorHAnsi" w:hAnsiTheme="majorHAnsi" w:cstheme="majorHAnsi"/>
          <w:sz w:val="28"/>
          <w:szCs w:val="28"/>
          <w:lang w:val="pt-BR"/>
        </w:rPr>
        <w:t>ê</w:t>
      </w:r>
      <w:r w:rsidR="00615019">
        <w:rPr>
          <w:rFonts w:asciiTheme="majorHAnsi" w:hAnsiTheme="majorHAnsi" w:cstheme="majorHAnsi"/>
          <w:sz w:val="28"/>
          <w:szCs w:val="28"/>
          <w:lang w:val="pt-BR"/>
        </w:rPr>
        <w:t xml:space="preserve">ng </w:t>
      </w:r>
      <w:r w:rsidRPr="006F315D">
        <w:rPr>
          <w:rFonts w:asciiTheme="majorHAnsi" w:hAnsiTheme="majorHAnsi" w:cstheme="majorHAnsi"/>
          <w:sz w:val="28"/>
          <w:szCs w:val="28"/>
          <w:lang w:val="pt-BR"/>
        </w:rPr>
        <w:t>đã cơ bản đạt được những yêu cầu khi ban hành, góp phần thực hiện mục tiêu phát triển kinh tế bền vững, giảm thiểu các tác động có hại đến môi trường sinh thái, phù hợp với xu hướng phát triển của thế giới.</w:t>
      </w:r>
    </w:p>
    <w:p w:rsidR="00DF3E56" w:rsidRPr="006F315D" w:rsidRDefault="00DF3E56">
      <w:pPr>
        <w:spacing w:after="200" w:line="276" w:lineRule="auto"/>
        <w:rPr>
          <w:b/>
          <w:sz w:val="28"/>
          <w:szCs w:val="28"/>
          <w:lang w:val="pl-PL"/>
        </w:rPr>
      </w:pPr>
      <w:r w:rsidRPr="006F315D">
        <w:rPr>
          <w:b/>
          <w:sz w:val="28"/>
          <w:szCs w:val="28"/>
          <w:lang w:val="pl-PL"/>
        </w:rPr>
        <w:br w:type="page"/>
      </w:r>
    </w:p>
    <w:p w:rsidR="00C43799" w:rsidRPr="006F315D" w:rsidRDefault="00C43799" w:rsidP="00DF3E56">
      <w:pPr>
        <w:spacing w:before="60" w:after="60" w:line="264" w:lineRule="auto"/>
        <w:jc w:val="center"/>
        <w:rPr>
          <w:b/>
          <w:sz w:val="28"/>
          <w:szCs w:val="28"/>
          <w:lang w:val="pl-PL"/>
        </w:rPr>
      </w:pPr>
      <w:r w:rsidRPr="006F315D">
        <w:rPr>
          <w:b/>
          <w:sz w:val="28"/>
          <w:szCs w:val="28"/>
          <w:lang w:val="pl-PL"/>
        </w:rPr>
        <w:lastRenderedPageBreak/>
        <w:t>Phần thứ hai</w:t>
      </w:r>
    </w:p>
    <w:p w:rsidR="00C43799" w:rsidRPr="006F315D" w:rsidRDefault="00C43799" w:rsidP="00DF3E56">
      <w:pPr>
        <w:spacing w:before="60" w:after="60" w:line="264" w:lineRule="auto"/>
        <w:jc w:val="center"/>
        <w:rPr>
          <w:rFonts w:asciiTheme="majorHAnsi" w:hAnsiTheme="majorHAnsi" w:cstheme="majorHAnsi"/>
          <w:b/>
          <w:sz w:val="26"/>
          <w:szCs w:val="26"/>
          <w:lang w:val="pl-PL"/>
        </w:rPr>
      </w:pPr>
      <w:r w:rsidRPr="006F315D">
        <w:rPr>
          <w:rFonts w:asciiTheme="majorHAnsi" w:hAnsiTheme="majorHAnsi" w:cstheme="majorHAnsi"/>
          <w:b/>
          <w:sz w:val="26"/>
          <w:szCs w:val="26"/>
          <w:lang w:val="pl-PL"/>
        </w:rPr>
        <w:t>HẠN CHẾ CỦA</w:t>
      </w:r>
      <w:r w:rsidRPr="006F315D">
        <w:rPr>
          <w:rFonts w:asciiTheme="majorHAnsi" w:hAnsiTheme="majorHAnsi" w:cstheme="majorHAnsi"/>
          <w:b/>
          <w:sz w:val="26"/>
          <w:szCs w:val="26"/>
          <w:lang w:val="vi-VN"/>
        </w:rPr>
        <w:t xml:space="preserve"> QUY ĐỊNH </w:t>
      </w:r>
      <w:r w:rsidR="0038492E" w:rsidRPr="006F315D">
        <w:rPr>
          <w:rFonts w:asciiTheme="majorHAnsi" w:hAnsiTheme="majorHAnsi" w:cstheme="majorHAnsi"/>
          <w:b/>
          <w:sz w:val="26"/>
          <w:szCs w:val="26"/>
          <w:lang w:val="pl-PL"/>
        </w:rPr>
        <w:t>VỀ MỨC THUẾ BẢO VỆ MÔI TRƯỜNG</w:t>
      </w:r>
    </w:p>
    <w:p w:rsidR="00CC5850" w:rsidRPr="006F315D" w:rsidRDefault="00CC5850" w:rsidP="00DF3E56">
      <w:pPr>
        <w:spacing w:before="60" w:after="60" w:line="264" w:lineRule="auto"/>
        <w:jc w:val="center"/>
        <w:rPr>
          <w:sz w:val="28"/>
          <w:szCs w:val="28"/>
          <w:lang w:val="pt-BR"/>
        </w:rPr>
      </w:pPr>
    </w:p>
    <w:p w:rsidR="00C43799" w:rsidRPr="006F315D" w:rsidRDefault="00C43799" w:rsidP="00DF3E56">
      <w:pPr>
        <w:spacing w:before="60" w:after="60" w:line="264" w:lineRule="auto"/>
        <w:ind w:firstLine="720"/>
        <w:jc w:val="both"/>
        <w:rPr>
          <w:b/>
          <w:spacing w:val="-2"/>
          <w:sz w:val="28"/>
          <w:szCs w:val="28"/>
          <w:lang w:val="nl-NL"/>
        </w:rPr>
      </w:pPr>
      <w:r w:rsidRPr="006F315D">
        <w:rPr>
          <w:b/>
          <w:spacing w:val="-2"/>
          <w:sz w:val="28"/>
          <w:szCs w:val="28"/>
          <w:lang w:val="nl-NL"/>
        </w:rPr>
        <w:t>1. Đối với xăng, dầu, mỡ nhờn</w:t>
      </w:r>
    </w:p>
    <w:p w:rsidR="006A19B9" w:rsidRPr="006F315D" w:rsidRDefault="00F60A1E" w:rsidP="00DF3E56">
      <w:pPr>
        <w:widowControl w:val="0"/>
        <w:spacing w:before="60" w:after="60" w:line="264" w:lineRule="auto"/>
        <w:ind w:firstLine="720"/>
        <w:jc w:val="both"/>
        <w:rPr>
          <w:rFonts w:asciiTheme="majorHAnsi" w:hAnsiTheme="majorHAnsi" w:cstheme="majorHAnsi"/>
          <w:sz w:val="28"/>
          <w:szCs w:val="28"/>
          <w:lang w:val="sv-SE"/>
        </w:rPr>
      </w:pPr>
      <w:r w:rsidRPr="006F315D">
        <w:rPr>
          <w:rFonts w:asciiTheme="majorHAnsi" w:hAnsiTheme="majorHAnsi" w:cstheme="majorHAnsi"/>
          <w:sz w:val="28"/>
          <w:szCs w:val="28"/>
          <w:lang w:val="sv-SE"/>
        </w:rPr>
        <w:t xml:space="preserve">- Xăng: Khung mức thuế từ 1.000-4.000 đồng/lít. Mức thuế hiện hành là 3.000 đồng/lít. </w:t>
      </w:r>
    </w:p>
    <w:p w:rsidR="006A19B9" w:rsidRPr="006F315D" w:rsidRDefault="00F60A1E" w:rsidP="00DF3E56">
      <w:pPr>
        <w:widowControl w:val="0"/>
        <w:spacing w:before="60" w:after="60" w:line="264" w:lineRule="auto"/>
        <w:ind w:firstLine="720"/>
        <w:jc w:val="both"/>
        <w:rPr>
          <w:rFonts w:asciiTheme="majorHAnsi" w:hAnsiTheme="majorHAnsi" w:cstheme="majorHAnsi"/>
          <w:sz w:val="28"/>
          <w:szCs w:val="28"/>
          <w:lang w:val="sv-SE"/>
        </w:rPr>
      </w:pPr>
      <w:r w:rsidRPr="006F315D">
        <w:rPr>
          <w:rFonts w:asciiTheme="majorHAnsi" w:hAnsiTheme="majorHAnsi" w:cstheme="majorHAnsi"/>
          <w:sz w:val="28"/>
          <w:szCs w:val="28"/>
          <w:lang w:val="sv-SE"/>
        </w:rPr>
        <w:t xml:space="preserve">- Nhiên liệu bay: Khung mức thuế từ 1.000-3.000 đồng/lít. Mức thuế hiện hành là 3.000 đồng/lít (mức trần trong khung mức thuế). </w:t>
      </w:r>
    </w:p>
    <w:p w:rsidR="006A19B9" w:rsidRPr="006F315D" w:rsidRDefault="00F60A1E" w:rsidP="00DF3E56">
      <w:pPr>
        <w:widowControl w:val="0"/>
        <w:spacing w:before="60" w:after="60" w:line="264" w:lineRule="auto"/>
        <w:ind w:firstLine="720"/>
        <w:jc w:val="both"/>
        <w:rPr>
          <w:rFonts w:asciiTheme="majorHAnsi" w:hAnsiTheme="majorHAnsi" w:cstheme="majorHAnsi"/>
          <w:sz w:val="28"/>
          <w:szCs w:val="28"/>
          <w:lang w:val="sv-SE"/>
        </w:rPr>
      </w:pPr>
      <w:r w:rsidRPr="006F315D">
        <w:rPr>
          <w:rFonts w:asciiTheme="majorHAnsi" w:hAnsiTheme="majorHAnsi" w:cstheme="majorHAnsi"/>
          <w:sz w:val="28"/>
          <w:szCs w:val="28"/>
          <w:lang w:val="sv-SE"/>
        </w:rPr>
        <w:t xml:space="preserve">- Dầu diesel: Khung mức thuế từ 500-2.000 đồng/lít. Mức thuế hiện hành là 1.500 đồng/lít. </w:t>
      </w:r>
    </w:p>
    <w:p w:rsidR="00F60A1E" w:rsidRPr="006F315D" w:rsidRDefault="00F60A1E" w:rsidP="00DF3E56">
      <w:pPr>
        <w:widowControl w:val="0"/>
        <w:spacing w:before="60" w:after="60" w:line="264" w:lineRule="auto"/>
        <w:ind w:firstLine="720"/>
        <w:jc w:val="both"/>
        <w:rPr>
          <w:rFonts w:asciiTheme="majorHAnsi" w:hAnsiTheme="majorHAnsi" w:cstheme="majorHAnsi"/>
          <w:sz w:val="28"/>
          <w:szCs w:val="28"/>
          <w:lang w:val="sv-SE"/>
        </w:rPr>
      </w:pPr>
      <w:r w:rsidRPr="006F315D">
        <w:rPr>
          <w:rFonts w:asciiTheme="majorHAnsi" w:hAnsiTheme="majorHAnsi" w:cstheme="majorHAnsi"/>
          <w:sz w:val="28"/>
          <w:szCs w:val="28"/>
          <w:lang w:val="sv-SE"/>
        </w:rPr>
        <w:t xml:space="preserve">- Dầu hỏa: Khung mức thuế từ 300-2.000 đồng/lít. Mức thuế hiện hành là 300 đồng/lít (mức sàn trong khung mức thuế). </w:t>
      </w:r>
    </w:p>
    <w:p w:rsidR="005C2705" w:rsidRDefault="00F60A1E" w:rsidP="00DF3E56">
      <w:pPr>
        <w:widowControl w:val="0"/>
        <w:spacing w:before="60" w:after="60" w:line="264" w:lineRule="auto"/>
        <w:ind w:firstLine="720"/>
        <w:jc w:val="both"/>
        <w:rPr>
          <w:rFonts w:asciiTheme="majorHAnsi" w:hAnsiTheme="majorHAnsi" w:cstheme="majorHAnsi"/>
          <w:sz w:val="28"/>
          <w:szCs w:val="28"/>
          <w:lang w:val="sv-SE"/>
        </w:rPr>
      </w:pPr>
      <w:r w:rsidRPr="006F315D">
        <w:rPr>
          <w:rFonts w:asciiTheme="majorHAnsi" w:hAnsiTheme="majorHAnsi" w:cstheme="majorHAnsi"/>
          <w:sz w:val="28"/>
          <w:szCs w:val="28"/>
          <w:lang w:val="sv-SE"/>
        </w:rPr>
        <w:t xml:space="preserve">- Dầu mazut, dầu nhờn: Khung mức thuế từ 300-2.000 đồng/lít. Mức thuế hiện hành là 900 đồng/lít. </w:t>
      </w:r>
    </w:p>
    <w:p w:rsidR="000D038B" w:rsidRPr="006F315D" w:rsidRDefault="000D038B" w:rsidP="00DF3E56">
      <w:pPr>
        <w:widowControl w:val="0"/>
        <w:spacing w:before="60" w:after="60" w:line="264" w:lineRule="auto"/>
        <w:ind w:firstLine="720"/>
        <w:jc w:val="both"/>
        <w:rPr>
          <w:rFonts w:asciiTheme="majorHAnsi" w:hAnsiTheme="majorHAnsi" w:cstheme="majorHAnsi"/>
          <w:sz w:val="28"/>
          <w:szCs w:val="28"/>
          <w:lang w:val="sv-SE"/>
        </w:rPr>
      </w:pPr>
      <w:r>
        <w:rPr>
          <w:rFonts w:asciiTheme="majorHAnsi" w:hAnsiTheme="majorHAnsi" w:cstheme="majorHAnsi"/>
          <w:sz w:val="28"/>
          <w:szCs w:val="28"/>
          <w:lang w:val="sv-SE"/>
        </w:rPr>
        <w:t xml:space="preserve">- </w:t>
      </w:r>
      <w:r w:rsidRPr="000D038B">
        <w:rPr>
          <w:rFonts w:asciiTheme="majorHAnsi" w:hAnsiTheme="majorHAnsi" w:cstheme="majorHAnsi"/>
          <w:sz w:val="28"/>
          <w:szCs w:val="28"/>
          <w:lang w:val="sv-SE"/>
        </w:rPr>
        <w:t xml:space="preserve">Mỡ nhờn: Khung mức thuế từ 300-2.000 đồng/kg. Mức thuế hiện hành là 900 đồng/kg. </w:t>
      </w:r>
    </w:p>
    <w:p w:rsidR="00FF4EF7" w:rsidRPr="006F315D" w:rsidRDefault="005A79D3" w:rsidP="00DF3E56">
      <w:pPr>
        <w:spacing w:before="60" w:after="60" w:line="264" w:lineRule="auto"/>
        <w:ind w:firstLine="720"/>
        <w:jc w:val="both"/>
        <w:rPr>
          <w:rFonts w:asciiTheme="majorHAnsi" w:hAnsiTheme="majorHAnsi" w:cstheme="majorHAnsi"/>
          <w:spacing w:val="-2"/>
          <w:sz w:val="28"/>
          <w:szCs w:val="28"/>
          <w:lang w:val="nl-NL"/>
        </w:rPr>
      </w:pPr>
      <w:r w:rsidRPr="006F315D">
        <w:rPr>
          <w:rFonts w:asciiTheme="majorHAnsi" w:hAnsiTheme="majorHAnsi" w:cstheme="majorHAnsi"/>
          <w:spacing w:val="-2"/>
          <w:sz w:val="28"/>
          <w:szCs w:val="28"/>
          <w:lang w:val="nl-NL"/>
        </w:rPr>
        <w:t>Xăng</w:t>
      </w:r>
      <w:r w:rsidR="0009632D" w:rsidRPr="006F315D">
        <w:rPr>
          <w:rFonts w:asciiTheme="majorHAnsi" w:hAnsiTheme="majorHAnsi" w:cstheme="majorHAnsi"/>
          <w:spacing w:val="-2"/>
          <w:sz w:val="28"/>
          <w:szCs w:val="28"/>
          <w:lang w:val="nl-NL"/>
        </w:rPr>
        <w:t>, dầu, mỡ nhờn (gọi chung là xăng dầu)</w:t>
      </w:r>
      <w:r w:rsidRPr="006F315D">
        <w:rPr>
          <w:rFonts w:asciiTheme="majorHAnsi" w:hAnsiTheme="majorHAnsi" w:cstheme="majorHAnsi"/>
          <w:spacing w:val="-2"/>
          <w:sz w:val="28"/>
          <w:szCs w:val="28"/>
          <w:lang w:val="nl-NL"/>
        </w:rPr>
        <w:t xml:space="preserve"> là sản phẩm có chứa nhiều chất gây ô nhiễm môi trường như chì, lưu huỳnh, benzen, hydrocacbon thơm, hydrocacbon nặng và một số phụ gia... Đây là những chất gây hại đến an toàn, sức khỏe và môi trường. </w:t>
      </w:r>
    </w:p>
    <w:p w:rsidR="00EB4997" w:rsidRPr="006F315D" w:rsidRDefault="00EB4997" w:rsidP="00DF3E56">
      <w:pPr>
        <w:spacing w:before="60" w:after="60" w:line="264" w:lineRule="auto"/>
        <w:ind w:firstLine="720"/>
        <w:jc w:val="both"/>
        <w:rPr>
          <w:rFonts w:asciiTheme="majorHAnsi" w:hAnsiTheme="majorHAnsi" w:cstheme="majorHAnsi"/>
          <w:sz w:val="28"/>
          <w:szCs w:val="28"/>
          <w:lang w:val="nl-NL" w:eastAsia="vi-VN"/>
        </w:rPr>
      </w:pPr>
      <w:r w:rsidRPr="006F315D">
        <w:rPr>
          <w:rFonts w:asciiTheme="majorHAnsi" w:hAnsiTheme="majorHAnsi" w:cstheme="majorHAnsi"/>
          <w:sz w:val="28"/>
          <w:szCs w:val="28"/>
          <w:lang w:val="am-ET" w:eastAsia="vi-VN"/>
        </w:rPr>
        <w:t>H</w:t>
      </w:r>
      <w:r w:rsidRPr="006F315D">
        <w:rPr>
          <w:rFonts w:asciiTheme="majorHAnsi" w:hAnsiTheme="majorHAnsi" w:cstheme="majorHAnsi"/>
          <w:bCs/>
          <w:sz w:val="28"/>
          <w:szCs w:val="28"/>
          <w:lang w:val="pt-BR"/>
        </w:rPr>
        <w:t>iện nay, Việt Nam đã tham gia và thực hiệ</w:t>
      </w:r>
      <w:r w:rsidR="00F043DC">
        <w:rPr>
          <w:rFonts w:asciiTheme="majorHAnsi" w:hAnsiTheme="majorHAnsi" w:cstheme="majorHAnsi"/>
          <w:bCs/>
          <w:sz w:val="28"/>
          <w:szCs w:val="28"/>
          <w:lang w:val="pt-BR"/>
        </w:rPr>
        <w:t xml:space="preserve">n nhiều cam kết quốc tế về BVMT </w:t>
      </w:r>
      <w:r w:rsidRPr="006F315D">
        <w:rPr>
          <w:rFonts w:asciiTheme="majorHAnsi" w:hAnsiTheme="majorHAnsi" w:cstheme="majorHAnsi"/>
          <w:bCs/>
          <w:sz w:val="28"/>
          <w:szCs w:val="28"/>
          <w:lang w:val="pt-BR"/>
        </w:rPr>
        <w:t xml:space="preserve">như </w:t>
      </w:r>
      <w:r w:rsidRPr="006F315D">
        <w:rPr>
          <w:rFonts w:asciiTheme="majorHAnsi" w:eastAsia="Arial" w:hAnsiTheme="majorHAnsi" w:cstheme="majorHAnsi"/>
          <w:sz w:val="28"/>
          <w:szCs w:val="28"/>
          <w:lang w:val="pt-BR"/>
        </w:rPr>
        <w:t>cam kết trong thực hiện</w:t>
      </w:r>
      <w:r w:rsidR="00F043DC">
        <w:rPr>
          <w:rFonts w:asciiTheme="majorHAnsi" w:eastAsia="Arial" w:hAnsiTheme="majorHAnsi" w:cstheme="majorHAnsi"/>
          <w:sz w:val="28"/>
          <w:szCs w:val="28"/>
          <w:lang w:val="pt-BR"/>
        </w:rPr>
        <w:t xml:space="preserve"> </w:t>
      </w:r>
      <w:r w:rsidRPr="006F315D">
        <w:rPr>
          <w:rFonts w:asciiTheme="majorHAnsi" w:hAnsiTheme="majorHAnsi" w:cstheme="majorHAnsi"/>
          <w:i/>
          <w:sz w:val="28"/>
          <w:szCs w:val="28"/>
          <w:lang w:val="pt-BR"/>
        </w:rPr>
        <w:t xml:space="preserve">“Cơ chế phát triển sạch” </w:t>
      </w:r>
      <w:r w:rsidRPr="006F315D">
        <w:rPr>
          <w:rFonts w:asciiTheme="majorHAnsi" w:hAnsiTheme="majorHAnsi" w:cstheme="majorHAnsi"/>
          <w:sz w:val="28"/>
          <w:szCs w:val="28"/>
          <w:lang w:val="pt-BR"/>
        </w:rPr>
        <w:t xml:space="preserve">(CDM) trong các lĩnh vực năng lượng, công nghiệp, giao thông vận tải, quản </w:t>
      </w:r>
      <w:r w:rsidR="00F043DC">
        <w:rPr>
          <w:rFonts w:asciiTheme="majorHAnsi" w:hAnsiTheme="majorHAnsi" w:cstheme="majorHAnsi"/>
          <w:sz w:val="28"/>
          <w:szCs w:val="28"/>
          <w:lang w:val="pt-BR"/>
        </w:rPr>
        <w:t xml:space="preserve">lý chất thải... </w:t>
      </w:r>
      <w:r w:rsidRPr="006F315D">
        <w:rPr>
          <w:rFonts w:asciiTheme="majorHAnsi" w:hAnsiTheme="majorHAnsi" w:cstheme="majorHAnsi"/>
          <w:sz w:val="28"/>
          <w:szCs w:val="28"/>
          <w:lang w:val="pt-BR"/>
        </w:rPr>
        <w:t>t</w:t>
      </w:r>
      <w:r w:rsidRPr="006F315D">
        <w:rPr>
          <w:rFonts w:asciiTheme="majorHAnsi" w:eastAsia="Arial" w:hAnsiTheme="majorHAnsi" w:cstheme="majorHAnsi"/>
          <w:sz w:val="28"/>
          <w:szCs w:val="28"/>
          <w:lang w:val="pt-BR"/>
        </w:rPr>
        <w:t xml:space="preserve">ại Nghị định thư Kyoto về kiểm soát khí thải nhà kính (có hiệu lực từ ngày 16/02/2005); </w:t>
      </w:r>
      <w:r w:rsidRPr="006F315D">
        <w:rPr>
          <w:sz w:val="28"/>
          <w:szCs w:val="28"/>
          <w:lang w:val="nl-NL"/>
        </w:rPr>
        <w:t xml:space="preserve">cam kết tại Hội nghị thượng đỉnh của Liên hợp quốc về biến đổi khí hậu tại Paris và Thỏa thuận Paris thực hiện Công ước khung của Liên hợp quốc về biến đổi khí hậu (có hiệu lực từ ngày 03/12/2016), trong đó </w:t>
      </w:r>
      <w:r w:rsidRPr="006F315D">
        <w:rPr>
          <w:rFonts w:asciiTheme="majorHAnsi" w:hAnsiTheme="majorHAnsi" w:cstheme="majorHAnsi"/>
          <w:sz w:val="28"/>
          <w:szCs w:val="28"/>
          <w:lang w:val="nl-NL" w:eastAsia="vi-VN"/>
        </w:rPr>
        <w:t>Việt Nam cam kết giảm 8% lượng phát thải khí nhà kính vào năm 2030 so với kịch bản phát triển thông thường.</w:t>
      </w:r>
    </w:p>
    <w:p w:rsidR="00FF4EF7" w:rsidRPr="006F315D" w:rsidRDefault="00FF4EF7" w:rsidP="00DF3E56">
      <w:pPr>
        <w:spacing w:before="60" w:after="60" w:line="264" w:lineRule="auto"/>
        <w:ind w:firstLine="720"/>
        <w:jc w:val="both"/>
        <w:rPr>
          <w:rFonts w:asciiTheme="majorHAnsi" w:hAnsiTheme="majorHAnsi" w:cstheme="majorHAnsi"/>
          <w:sz w:val="28"/>
          <w:szCs w:val="28"/>
          <w:lang w:val="nl-NL"/>
        </w:rPr>
      </w:pPr>
      <w:r w:rsidRPr="006F315D">
        <w:rPr>
          <w:rFonts w:asciiTheme="majorHAnsi" w:hAnsiTheme="majorHAnsi" w:cstheme="majorHAnsi"/>
          <w:sz w:val="28"/>
          <w:szCs w:val="28"/>
          <w:lang w:val="nl-NL"/>
        </w:rPr>
        <w:t xml:space="preserve">Việt Nam đang áp dụng mức </w:t>
      </w:r>
      <w:r w:rsidRPr="006F315D">
        <w:rPr>
          <w:rFonts w:asciiTheme="majorHAnsi" w:hAnsiTheme="majorHAnsi" w:cstheme="majorHAnsi"/>
          <w:sz w:val="28"/>
          <w:szCs w:val="28"/>
          <w:lang w:val="nb-NO"/>
        </w:rPr>
        <w:t xml:space="preserve">thuế nhập khẩu tối huệ quốc (sau đây gọi tắt là mức thuế MFN) cho tất cả các nước thành viên của </w:t>
      </w:r>
      <w:r w:rsidRPr="006F315D">
        <w:rPr>
          <w:rFonts w:asciiTheme="majorHAnsi" w:hAnsiTheme="majorHAnsi" w:cstheme="majorHAnsi"/>
          <w:sz w:val="28"/>
          <w:szCs w:val="28"/>
          <w:lang w:val="nl-NL"/>
        </w:rPr>
        <w:t>Tổ chức Thương mại thế giới</w:t>
      </w:r>
      <w:r w:rsidRPr="006F315D">
        <w:rPr>
          <w:rFonts w:asciiTheme="majorHAnsi" w:hAnsiTheme="majorHAnsi" w:cstheme="majorHAnsi"/>
          <w:sz w:val="28"/>
          <w:szCs w:val="28"/>
          <w:lang w:val="nb-NO"/>
        </w:rPr>
        <w:t>. Theo đó, Việt Nam cam kết quy định mức thuế nhập khẩu trầ</w:t>
      </w:r>
      <w:r w:rsidR="00865E4F" w:rsidRPr="006F315D">
        <w:rPr>
          <w:rFonts w:asciiTheme="majorHAnsi" w:hAnsiTheme="majorHAnsi" w:cstheme="majorHAnsi"/>
          <w:sz w:val="28"/>
          <w:szCs w:val="28"/>
          <w:lang w:val="nb-NO"/>
        </w:rPr>
        <w:t>n (tối đa) là 40% đối với xăng.</w:t>
      </w:r>
    </w:p>
    <w:p w:rsidR="00F070AF" w:rsidRPr="006F315D" w:rsidRDefault="00F070AF" w:rsidP="00DF3E56">
      <w:pPr>
        <w:pStyle w:val="NormalWeb"/>
        <w:spacing w:before="60" w:beforeAutospacing="0" w:after="60" w:afterAutospacing="0" w:line="264" w:lineRule="auto"/>
        <w:ind w:firstLine="720"/>
        <w:jc w:val="both"/>
        <w:rPr>
          <w:rFonts w:asciiTheme="majorHAnsi" w:hAnsiTheme="majorHAnsi" w:cstheme="majorHAnsi"/>
          <w:sz w:val="28"/>
          <w:szCs w:val="28"/>
          <w:lang w:val="nb-NO"/>
        </w:rPr>
      </w:pPr>
      <w:r w:rsidRPr="006F315D">
        <w:rPr>
          <w:rFonts w:asciiTheme="majorHAnsi" w:hAnsiTheme="majorHAnsi" w:cstheme="majorHAnsi"/>
          <w:sz w:val="28"/>
          <w:szCs w:val="28"/>
          <w:lang w:val="nb-NO"/>
        </w:rPr>
        <w:t xml:space="preserve">Theo cam kết tại Hiệp định thương mại tự do trong nội khối ASEAN (Hiệp định ATIGA) thì từ </w:t>
      </w:r>
      <w:r w:rsidR="001A4D0A" w:rsidRPr="006F315D">
        <w:rPr>
          <w:rFonts w:asciiTheme="majorHAnsi" w:hAnsiTheme="majorHAnsi" w:cstheme="majorHAnsi"/>
          <w:sz w:val="28"/>
          <w:szCs w:val="28"/>
          <w:lang w:val="nb-NO"/>
        </w:rPr>
        <w:t xml:space="preserve">năm </w:t>
      </w:r>
      <w:r w:rsidRPr="006F315D">
        <w:rPr>
          <w:rFonts w:asciiTheme="majorHAnsi" w:hAnsiTheme="majorHAnsi" w:cstheme="majorHAnsi"/>
          <w:sz w:val="28"/>
          <w:szCs w:val="28"/>
          <w:lang w:val="nb-NO"/>
        </w:rPr>
        <w:t xml:space="preserve">2012 mức thuế nhập khẩu ưu đãi đặc biệt đối với mặt hàng xăng là 20%, dầu diesel là 5%, dầu hỏa là 7%, nhiên liệu bay là 10%, dầu mazut là 0% (các mặt hàng dầu về 0% từ năm 2016, trừ dầu mazut); tại Hiệp định thương mại Việt Nam - Hàn Quốc (Hiệp định VKFTA) thì từ </w:t>
      </w:r>
      <w:r w:rsidR="001A4D0A" w:rsidRPr="006F315D">
        <w:rPr>
          <w:rFonts w:asciiTheme="majorHAnsi" w:hAnsiTheme="majorHAnsi" w:cstheme="majorHAnsi"/>
          <w:sz w:val="28"/>
          <w:szCs w:val="28"/>
          <w:lang w:val="nb-NO"/>
        </w:rPr>
        <w:t xml:space="preserve">năm </w:t>
      </w:r>
      <w:r w:rsidRPr="006F315D">
        <w:rPr>
          <w:rFonts w:asciiTheme="majorHAnsi" w:hAnsiTheme="majorHAnsi" w:cstheme="majorHAnsi"/>
          <w:sz w:val="28"/>
          <w:szCs w:val="28"/>
          <w:lang w:val="nb-NO"/>
        </w:rPr>
        <w:lastRenderedPageBreak/>
        <w:t>2016 mức thuế nhập khẩu ưu đãi đặc biệt đối với mặt hàng xăng là 10%, các mặt hàng dầu là 5% (</w:t>
      </w:r>
      <w:r w:rsidR="007E5F10">
        <w:rPr>
          <w:rFonts w:asciiTheme="majorHAnsi" w:hAnsiTheme="majorHAnsi" w:cstheme="majorHAnsi"/>
          <w:sz w:val="28"/>
          <w:szCs w:val="28"/>
          <w:lang w:val="nb-NO"/>
        </w:rPr>
        <w:t>hi</w:t>
      </w:r>
      <w:r w:rsidR="007E5F10" w:rsidRPr="007E5F10">
        <w:rPr>
          <w:rFonts w:asciiTheme="majorHAnsi" w:hAnsiTheme="majorHAnsi" w:cstheme="majorHAnsi"/>
          <w:sz w:val="28"/>
          <w:szCs w:val="28"/>
          <w:lang w:val="nb-NO"/>
        </w:rPr>
        <w:t>ện</w:t>
      </w:r>
      <w:r w:rsidR="007E5F10">
        <w:rPr>
          <w:rFonts w:asciiTheme="majorHAnsi" w:hAnsiTheme="majorHAnsi" w:cstheme="majorHAnsi"/>
          <w:sz w:val="28"/>
          <w:szCs w:val="28"/>
          <w:lang w:val="nb-NO"/>
        </w:rPr>
        <w:t xml:space="preserve"> nay, các mặt hàng dầu </w:t>
      </w:r>
      <w:r w:rsidR="007E5F10" w:rsidRPr="007E5F10">
        <w:rPr>
          <w:rFonts w:asciiTheme="majorHAnsi" w:hAnsiTheme="majorHAnsi" w:cstheme="majorHAnsi"/>
          <w:sz w:val="28"/>
          <w:szCs w:val="28"/>
          <w:lang w:val="nb-NO"/>
        </w:rPr>
        <w:t>đã</w:t>
      </w:r>
      <w:r w:rsidR="007E5F10">
        <w:rPr>
          <w:rFonts w:asciiTheme="majorHAnsi" w:hAnsiTheme="majorHAnsi" w:cstheme="majorHAnsi"/>
          <w:sz w:val="28"/>
          <w:szCs w:val="28"/>
          <w:lang w:val="nb-NO"/>
        </w:rPr>
        <w:t xml:space="preserve"> về 0%</w:t>
      </w:r>
      <w:r w:rsidRPr="006F315D">
        <w:rPr>
          <w:rFonts w:asciiTheme="majorHAnsi" w:hAnsiTheme="majorHAnsi" w:cstheme="majorHAnsi"/>
          <w:sz w:val="28"/>
          <w:szCs w:val="28"/>
          <w:lang w:val="nb-NO"/>
        </w:rPr>
        <w:t>). Mức thuế nhập khẩu ưu đãi đặc biệt đối với mặt hàng xăng dầu cam kết trong các Hiệp định khác dần về 0%.</w:t>
      </w:r>
    </w:p>
    <w:p w:rsidR="00F070AF" w:rsidRPr="006F315D" w:rsidRDefault="00F070AF" w:rsidP="00DF3E56">
      <w:pPr>
        <w:pStyle w:val="NormalWeb"/>
        <w:spacing w:before="60" w:beforeAutospacing="0" w:after="60" w:afterAutospacing="0" w:line="264" w:lineRule="auto"/>
        <w:ind w:firstLine="709"/>
        <w:jc w:val="both"/>
        <w:rPr>
          <w:rFonts w:ascii="Times" w:hAnsi="Times" w:cs="Times"/>
          <w:color w:val="000000"/>
          <w:sz w:val="28"/>
          <w:szCs w:val="28"/>
          <w:lang w:val="nb-NO"/>
        </w:rPr>
      </w:pPr>
      <w:r w:rsidRPr="006F315D">
        <w:rPr>
          <w:rFonts w:asciiTheme="majorHAnsi" w:hAnsiTheme="majorHAnsi" w:cstheme="majorHAnsi"/>
          <w:color w:val="000000"/>
          <w:sz w:val="28"/>
          <w:szCs w:val="28"/>
          <w:lang w:val="nb-NO" w:eastAsia="vi-VN"/>
        </w:rPr>
        <w:t>Thực hiện cắt giảm thuế nhập khẩu đối với xăng dầu theo các hiệp định thương mại tự do, t</w:t>
      </w:r>
      <w:r w:rsidRPr="006F315D">
        <w:rPr>
          <w:color w:val="000000"/>
          <w:sz w:val="28"/>
          <w:szCs w:val="28"/>
          <w:bdr w:val="none" w:sz="0" w:space="0" w:color="auto" w:frame="1"/>
          <w:lang w:val="nl-NL"/>
        </w:rPr>
        <w:t>heo tính toán trên cơ sở: (i) S</w:t>
      </w:r>
      <w:r w:rsidRPr="006F315D">
        <w:rPr>
          <w:color w:val="000000"/>
          <w:sz w:val="28"/>
          <w:szCs w:val="28"/>
          <w:bdr w:val="none" w:sz="0" w:space="0" w:color="auto" w:frame="1"/>
          <w:lang w:val="nb-NO"/>
        </w:rPr>
        <w:t>ản lượng thực tế nhập khẩu từ các thị trường các năm 2015, 2016 và 2017</w:t>
      </w:r>
      <w:r w:rsidRPr="006F315D">
        <w:rPr>
          <w:color w:val="000000"/>
          <w:sz w:val="28"/>
          <w:szCs w:val="28"/>
          <w:bdr w:val="none" w:sz="0" w:space="0" w:color="auto" w:frame="1"/>
          <w:lang w:val="nl-NL"/>
        </w:rPr>
        <w:t xml:space="preserve">; (ii) Giá tính thuế nhập khẩu xăng dầu lấy theo mức giá của tháng 3/2018; (iii) Áp dụng mức thuế nhập khẩu MFN 40% </w:t>
      </w:r>
      <w:r w:rsidRPr="006F315D">
        <w:rPr>
          <w:iCs/>
          <w:color w:val="000000"/>
          <w:sz w:val="28"/>
          <w:szCs w:val="28"/>
          <w:bdr w:val="none" w:sz="0" w:space="0" w:color="auto" w:frame="1"/>
          <w:lang w:val="sv-SE"/>
        </w:rPr>
        <w:t xml:space="preserve">so với áp dụng mức thuế nhập khẩu theo Hiệp định ATIGA 20% và Hiệp định </w:t>
      </w:r>
      <w:r w:rsidRPr="006F315D">
        <w:rPr>
          <w:iCs/>
          <w:color w:val="000000"/>
          <w:sz w:val="28"/>
          <w:szCs w:val="28"/>
          <w:bdr w:val="none" w:sz="0" w:space="0" w:color="auto" w:frame="1"/>
          <w:lang w:val="nb-NO"/>
        </w:rPr>
        <w:t>VKFTA 10%, thì s</w:t>
      </w:r>
      <w:r w:rsidRPr="006F315D">
        <w:rPr>
          <w:color w:val="000000"/>
          <w:sz w:val="28"/>
          <w:szCs w:val="28"/>
          <w:bdr w:val="none" w:sz="0" w:space="0" w:color="auto" w:frame="1"/>
          <w:lang w:val="nl-NL"/>
        </w:rPr>
        <w:t xml:space="preserve">ố thu thuế từ hoạt động nhập khẩu xăng dầu </w:t>
      </w:r>
      <w:r w:rsidRPr="006F315D">
        <w:rPr>
          <w:iCs/>
          <w:color w:val="000000"/>
          <w:sz w:val="28"/>
          <w:szCs w:val="28"/>
          <w:bdr w:val="none" w:sz="0" w:space="0" w:color="auto" w:frame="1"/>
          <w:lang w:val="nb-NO"/>
        </w:rPr>
        <w:t>giảm t</w:t>
      </w:r>
      <w:r w:rsidRPr="006F315D">
        <w:rPr>
          <w:color w:val="000000"/>
          <w:sz w:val="28"/>
          <w:szCs w:val="28"/>
          <w:bdr w:val="none" w:sz="0" w:space="0" w:color="auto" w:frame="1"/>
          <w:lang w:val="nb-NO"/>
        </w:rPr>
        <w:t xml:space="preserve">ừ </w:t>
      </w:r>
      <w:r w:rsidR="0007581A">
        <w:rPr>
          <w:color w:val="000000"/>
          <w:sz w:val="28"/>
          <w:szCs w:val="28"/>
          <w:bdr w:val="none" w:sz="0" w:space="0" w:color="auto" w:frame="1"/>
          <w:lang w:val="nb-NO"/>
        </w:rPr>
        <w:t>kho</w:t>
      </w:r>
      <w:r w:rsidR="0007581A" w:rsidRPr="0007581A">
        <w:rPr>
          <w:color w:val="000000"/>
          <w:sz w:val="28"/>
          <w:szCs w:val="28"/>
          <w:bdr w:val="none" w:sz="0" w:space="0" w:color="auto" w:frame="1"/>
          <w:lang w:val="nb-NO"/>
        </w:rPr>
        <w:t>ảng</w:t>
      </w:r>
      <w:r w:rsidR="0007581A">
        <w:rPr>
          <w:color w:val="000000"/>
          <w:sz w:val="28"/>
          <w:szCs w:val="28"/>
          <w:bdr w:val="none" w:sz="0" w:space="0" w:color="auto" w:frame="1"/>
          <w:lang w:val="nb-NO"/>
        </w:rPr>
        <w:t xml:space="preserve"> </w:t>
      </w:r>
      <w:r w:rsidRPr="006F315D">
        <w:rPr>
          <w:color w:val="000000"/>
          <w:sz w:val="28"/>
          <w:szCs w:val="28"/>
          <w:bdr w:val="none" w:sz="0" w:space="0" w:color="auto" w:frame="1"/>
          <w:lang w:val="nb-NO"/>
        </w:rPr>
        <w:t>53</w:t>
      </w:r>
      <w:r w:rsidR="0007581A">
        <w:rPr>
          <w:color w:val="000000"/>
          <w:sz w:val="28"/>
          <w:szCs w:val="28"/>
          <w:bdr w:val="none" w:sz="0" w:space="0" w:color="auto" w:frame="1"/>
          <w:lang w:val="nb-NO"/>
        </w:rPr>
        <w:t>,0</w:t>
      </w:r>
      <w:r w:rsidRPr="006F315D">
        <w:rPr>
          <w:color w:val="000000"/>
          <w:sz w:val="28"/>
          <w:szCs w:val="28"/>
          <w:bdr w:val="none" w:sz="0" w:space="0" w:color="auto" w:frame="1"/>
          <w:lang w:val="nb-NO"/>
        </w:rPr>
        <w:t xml:space="preserve"> nghìn tỷ đồng năm 2015 xuống khoảng 13,</w:t>
      </w:r>
      <w:r w:rsidRPr="006F315D">
        <w:rPr>
          <w:color w:val="000000"/>
          <w:sz w:val="28"/>
          <w:szCs w:val="28"/>
          <w:bdr w:val="none" w:sz="0" w:space="0" w:color="auto" w:frame="1"/>
          <w:lang w:val="nl-NL"/>
        </w:rPr>
        <w:t>4</w:t>
      </w:r>
      <w:r w:rsidRPr="006F315D">
        <w:rPr>
          <w:color w:val="000000"/>
          <w:sz w:val="28"/>
          <w:szCs w:val="28"/>
          <w:bdr w:val="none" w:sz="0" w:space="0" w:color="auto" w:frame="1"/>
          <w:lang w:val="nb-NO"/>
        </w:rPr>
        <w:t xml:space="preserve"> nghìn tỷ đồng </w:t>
      </w:r>
      <w:r w:rsidRPr="006F315D">
        <w:rPr>
          <w:color w:val="000000"/>
          <w:sz w:val="28"/>
          <w:szCs w:val="28"/>
          <w:bdr w:val="none" w:sz="0" w:space="0" w:color="auto" w:frame="1"/>
          <w:lang w:val="sv-SE"/>
        </w:rPr>
        <w:t xml:space="preserve">năm 2016 (giảm khoảng 39,6 nghìn tỷ đồng so với năm 2015); xuống khoảng 14,1 nghìn tỷ đồng năm 2017 (giảm khoảng 38,9 nghìn tỷ đồng so với năm 2015, số thu năm 2017 tăng nhẹ so với năm 2016 là do sản lượng nhập khẩu tăng); và </w:t>
      </w:r>
      <w:r w:rsidRPr="006F315D">
        <w:rPr>
          <w:color w:val="000000"/>
          <w:sz w:val="28"/>
          <w:szCs w:val="28"/>
          <w:bdr w:val="none" w:sz="0" w:space="0" w:color="auto" w:frame="1"/>
          <w:lang w:val="nl-NL"/>
        </w:rPr>
        <w:t xml:space="preserve">sẽ giảm </w:t>
      </w:r>
      <w:r w:rsidRPr="006F315D">
        <w:rPr>
          <w:color w:val="000000"/>
          <w:sz w:val="28"/>
          <w:szCs w:val="28"/>
          <w:bdr w:val="none" w:sz="0" w:space="0" w:color="auto" w:frame="1"/>
          <w:lang w:val="nb-NO"/>
        </w:rPr>
        <w:t xml:space="preserve">xuống khoảng 10,3 nghìn tỷ đồng năm 2018 </w:t>
      </w:r>
      <w:r w:rsidRPr="006F315D">
        <w:rPr>
          <w:color w:val="000000"/>
          <w:sz w:val="28"/>
          <w:szCs w:val="28"/>
          <w:bdr w:val="none" w:sz="0" w:space="0" w:color="auto" w:frame="1"/>
          <w:lang w:val="sv-SE"/>
        </w:rPr>
        <w:t>(</w:t>
      </w:r>
      <w:r w:rsidRPr="006F315D">
        <w:rPr>
          <w:color w:val="000000"/>
          <w:sz w:val="28"/>
          <w:szCs w:val="28"/>
          <w:bdr w:val="none" w:sz="0" w:space="0" w:color="auto" w:frame="1"/>
          <w:lang w:val="nb-NO"/>
        </w:rPr>
        <w:t>giảm khoảng 42,7 nghìn tỷ đồng so với năm 2015</w:t>
      </w:r>
      <w:r w:rsidRPr="006F315D">
        <w:rPr>
          <w:color w:val="000000"/>
          <w:sz w:val="28"/>
          <w:szCs w:val="28"/>
          <w:bdr w:val="none" w:sz="0" w:space="0" w:color="auto" w:frame="1"/>
          <w:lang w:val="nl-NL"/>
        </w:rPr>
        <w:t xml:space="preserve">); số thu thuế từ hoạt động nhập khẩu xăng dầu sẽ tiếp tục giảm cho đến khi thuế nhập khẩu giảm về 0% (theo Hiệp định ATIGA, mức thuế đối với mặt hàng xăng về 0% vào năm 2024). </w:t>
      </w:r>
    </w:p>
    <w:p w:rsidR="00E52749" w:rsidRPr="006F315D" w:rsidRDefault="00576C88" w:rsidP="00DF3E56">
      <w:pPr>
        <w:pStyle w:val="NormalWeb"/>
        <w:spacing w:before="60" w:beforeAutospacing="0" w:after="60" w:afterAutospacing="0" w:line="264" w:lineRule="auto"/>
        <w:ind w:firstLine="720"/>
        <w:jc w:val="both"/>
        <w:rPr>
          <w:rFonts w:asciiTheme="majorHAnsi" w:hAnsiTheme="majorHAnsi" w:cstheme="majorHAnsi"/>
          <w:sz w:val="28"/>
          <w:szCs w:val="28"/>
          <w:lang w:val="nl-NL"/>
        </w:rPr>
      </w:pPr>
      <w:r w:rsidRPr="006F315D">
        <w:rPr>
          <w:rFonts w:asciiTheme="majorHAnsi" w:hAnsiTheme="majorHAnsi" w:cstheme="majorHAnsi"/>
          <w:sz w:val="28"/>
          <w:szCs w:val="28"/>
          <w:lang w:val="nl-NL"/>
        </w:rPr>
        <w:t>- Giá dầu thô trên thị trường thế giới phụ thuộc vào nhiều yếu tố như mức cung của các nhà sản xuất, sự thay đổi lượng cầu, chi phí đầu tư khai thác, sự biến đ</w:t>
      </w:r>
      <w:r w:rsidR="00203385" w:rsidRPr="006F315D">
        <w:rPr>
          <w:rFonts w:asciiTheme="majorHAnsi" w:hAnsiTheme="majorHAnsi" w:cstheme="majorHAnsi"/>
          <w:sz w:val="28"/>
          <w:szCs w:val="28"/>
          <w:lang w:val="nl-NL"/>
        </w:rPr>
        <w:t>ộng của đồng tiền thanh toán...</w:t>
      </w:r>
      <w:r w:rsidRPr="006F315D">
        <w:rPr>
          <w:rFonts w:asciiTheme="majorHAnsi" w:hAnsiTheme="majorHAnsi" w:cstheme="majorHAnsi"/>
          <w:sz w:val="28"/>
          <w:szCs w:val="28"/>
          <w:lang w:val="nl-NL"/>
        </w:rPr>
        <w:t xml:space="preserve"> nên thay đổi khó lường, bất thường. Giá dầu thế giới giảm sẽ tác động tích cực đến nền kinh tế (làm giảm giá đầu vào của sản xuất, kinh doanh), từ đó tăng hiệu quả của doanh nghiệp và nền kinh tế. Tuy nhiên, giá dầu giảm sẽ làm giảm đáng kể nguồn thu NSNN trong ngắn hạn. </w:t>
      </w:r>
    </w:p>
    <w:p w:rsidR="0041750F" w:rsidRPr="006F315D" w:rsidRDefault="0041750F" w:rsidP="00DF3E56">
      <w:pPr>
        <w:overflowPunct w:val="0"/>
        <w:autoSpaceDE w:val="0"/>
        <w:autoSpaceDN w:val="0"/>
        <w:adjustRightInd w:val="0"/>
        <w:spacing w:before="60" w:after="60" w:line="264" w:lineRule="auto"/>
        <w:ind w:firstLine="720"/>
        <w:jc w:val="both"/>
        <w:rPr>
          <w:sz w:val="28"/>
          <w:szCs w:val="28"/>
          <w:lang w:val="nl-NL"/>
        </w:rPr>
      </w:pPr>
      <w:r w:rsidRPr="006F315D">
        <w:rPr>
          <w:rFonts w:asciiTheme="majorHAnsi" w:hAnsiTheme="majorHAnsi" w:cstheme="majorHAnsi"/>
          <w:sz w:val="28"/>
          <w:szCs w:val="28"/>
          <w:lang w:val="nl-NL"/>
        </w:rPr>
        <w:t>Trước bối cảnh phải cắt giảm thuế nhập khẩu theo các cam kết quốc tế</w:t>
      </w:r>
      <w:r w:rsidR="001A4D0A" w:rsidRPr="006F315D">
        <w:rPr>
          <w:rFonts w:asciiTheme="majorHAnsi" w:hAnsiTheme="majorHAnsi" w:cstheme="majorHAnsi"/>
          <w:sz w:val="28"/>
          <w:szCs w:val="28"/>
          <w:lang w:val="nl-NL"/>
        </w:rPr>
        <w:t>,</w:t>
      </w:r>
      <w:r w:rsidRPr="006F315D">
        <w:rPr>
          <w:rFonts w:asciiTheme="majorHAnsi" w:hAnsiTheme="majorHAnsi" w:cstheme="majorHAnsi"/>
          <w:sz w:val="28"/>
          <w:szCs w:val="28"/>
          <w:lang w:val="nl-NL"/>
        </w:rPr>
        <w:t xml:space="preserve"> </w:t>
      </w:r>
      <w:r w:rsidRPr="006F315D">
        <w:rPr>
          <w:sz w:val="28"/>
          <w:szCs w:val="28"/>
          <w:lang w:val="nl-NL"/>
        </w:rPr>
        <w:t>Quỹ tiền tệ quốc tế (IMF) khuyến nghị các nước sử dụng thuế nội địa để thực hiện các phương án cắt, giảm thuế nhập khẩu theo các cam kết quốc tế.</w:t>
      </w:r>
    </w:p>
    <w:p w:rsidR="00612366" w:rsidRPr="006F315D" w:rsidRDefault="00576C88" w:rsidP="00DF3E56">
      <w:pPr>
        <w:overflowPunct w:val="0"/>
        <w:autoSpaceDE w:val="0"/>
        <w:autoSpaceDN w:val="0"/>
        <w:adjustRightInd w:val="0"/>
        <w:spacing w:before="60" w:after="60" w:line="264" w:lineRule="auto"/>
        <w:ind w:firstLine="720"/>
        <w:jc w:val="both"/>
        <w:rPr>
          <w:rFonts w:asciiTheme="majorHAnsi" w:hAnsiTheme="majorHAnsi" w:cstheme="majorHAnsi"/>
          <w:sz w:val="28"/>
          <w:szCs w:val="28"/>
          <w:lang w:val="nl-NL"/>
        </w:rPr>
      </w:pPr>
      <w:r w:rsidRPr="006F315D">
        <w:rPr>
          <w:rFonts w:asciiTheme="majorHAnsi" w:hAnsiTheme="majorHAnsi" w:cstheme="majorHAnsi"/>
          <w:sz w:val="28"/>
          <w:szCs w:val="28"/>
          <w:lang w:val="nl-NL"/>
        </w:rPr>
        <w:t xml:space="preserve">- </w:t>
      </w:r>
      <w:r w:rsidR="00612366" w:rsidRPr="006F315D">
        <w:rPr>
          <w:rFonts w:asciiTheme="majorHAnsi" w:hAnsiTheme="majorHAnsi" w:cstheme="majorHAnsi"/>
          <w:sz w:val="28"/>
          <w:szCs w:val="28"/>
          <w:lang w:val="nl-NL"/>
        </w:rPr>
        <w:t xml:space="preserve">Hiện nay, </w:t>
      </w:r>
      <w:hyperlink r:id="rId9" w:history="1">
        <w:r w:rsidR="00612366" w:rsidRPr="006F315D">
          <w:rPr>
            <w:rFonts w:asciiTheme="majorHAnsi" w:hAnsiTheme="majorHAnsi" w:cstheme="majorHAnsi"/>
            <w:sz w:val="28"/>
            <w:szCs w:val="28"/>
            <w:lang w:val="nl-NL"/>
          </w:rPr>
          <w:t>giá</w:t>
        </w:r>
      </w:hyperlink>
      <w:r w:rsidR="00612366" w:rsidRPr="006F315D">
        <w:rPr>
          <w:rFonts w:asciiTheme="majorHAnsi" w:hAnsiTheme="majorHAnsi" w:cstheme="majorHAnsi"/>
          <w:sz w:val="28"/>
          <w:szCs w:val="28"/>
          <w:lang w:val="nl-NL"/>
        </w:rPr>
        <w:t> bán lẻ xăng dầu ở Việt Nam cơ bản đang thấp hơn so với các nước có chung đường biên giới và nhiều nước khá</w:t>
      </w:r>
      <w:r w:rsidR="00926DF5" w:rsidRPr="006F315D">
        <w:rPr>
          <w:rFonts w:asciiTheme="majorHAnsi" w:hAnsiTheme="majorHAnsi" w:cstheme="majorHAnsi"/>
          <w:sz w:val="28"/>
          <w:szCs w:val="28"/>
          <w:lang w:val="nl-NL"/>
        </w:rPr>
        <w:t>c trong khu vực ASEAN và Châu Á</w:t>
      </w:r>
      <w:r w:rsidR="00612366" w:rsidRPr="006F315D">
        <w:rPr>
          <w:rFonts w:asciiTheme="majorHAnsi" w:hAnsiTheme="majorHAnsi" w:cstheme="majorHAnsi"/>
          <w:sz w:val="28"/>
          <w:szCs w:val="28"/>
          <w:lang w:val="nl-NL"/>
        </w:rPr>
        <w:t>. Theo bảng xếp hạng của trang web Global Petrol Prices vào ngày 02/3/2018, giá bán lẻ xăng của Việt Nam đứng thứ vị trí 47 từ thấp đến cao trong tổng số 167 quốc gia (thấp hơn 120 nước) với mức giá là 19.980 đồng/lít, thấp hơn so với 3 nước có chung đường biên giới với Việt Nam (thấp hơn Lào là 5.556 đồng/lít, Campuchia là 3.745 đồng/lít, Trung Quốc là 1.468 đồng/lít); và thấp hơn một số quốc gia khác trong khu vực ASEAN, Châu Á (như thấp hơn Singapore là 17.394 đồng/lít, Philippines là 3.451 đồng/lít, Hồng Kông là 26.950 đồng/lít).</w:t>
      </w:r>
    </w:p>
    <w:p w:rsidR="00825CF1" w:rsidRPr="006F315D" w:rsidRDefault="00825CF1" w:rsidP="00DF3E56">
      <w:pPr>
        <w:overflowPunct w:val="0"/>
        <w:autoSpaceDE w:val="0"/>
        <w:autoSpaceDN w:val="0"/>
        <w:adjustRightInd w:val="0"/>
        <w:spacing w:before="60" w:after="60" w:line="264" w:lineRule="auto"/>
        <w:ind w:firstLine="720"/>
        <w:jc w:val="both"/>
        <w:rPr>
          <w:rFonts w:asciiTheme="majorHAnsi" w:hAnsiTheme="majorHAnsi" w:cstheme="majorHAnsi"/>
          <w:sz w:val="28"/>
          <w:szCs w:val="28"/>
          <w:lang w:val="nl-NL"/>
        </w:rPr>
      </w:pPr>
      <w:r w:rsidRPr="006F315D">
        <w:rPr>
          <w:rFonts w:asciiTheme="majorHAnsi" w:hAnsiTheme="majorHAnsi" w:cstheme="majorHAnsi"/>
          <w:sz w:val="28"/>
          <w:szCs w:val="28"/>
          <w:lang w:val="nl-NL"/>
        </w:rPr>
        <w:t xml:space="preserve">Do đó, để </w:t>
      </w:r>
      <w:r w:rsidRPr="006F315D">
        <w:rPr>
          <w:rFonts w:asciiTheme="majorHAnsi" w:hAnsiTheme="majorHAnsi" w:cstheme="majorHAnsi"/>
          <w:spacing w:val="-2"/>
          <w:sz w:val="28"/>
          <w:szCs w:val="28"/>
          <w:lang w:val="nl-NL"/>
        </w:rPr>
        <w:t>n</w:t>
      </w:r>
      <w:r w:rsidRPr="006F315D">
        <w:rPr>
          <w:sz w:val="28"/>
          <w:szCs w:val="28"/>
          <w:lang w:val="sv-SE"/>
        </w:rPr>
        <w:t xml:space="preserve">âng cao hơn nữa trách nhiệm và nhận thức của tổ chức, cá nhân đối với môi trường; </w:t>
      </w:r>
      <w:r w:rsidRPr="006F315D">
        <w:rPr>
          <w:sz w:val="28"/>
          <w:szCs w:val="28"/>
          <w:bdr w:val="none" w:sz="0" w:space="0" w:color="auto" w:frame="1"/>
          <w:lang w:val="nl-NL" w:eastAsia="vi-VN"/>
        </w:rPr>
        <w:t xml:space="preserve">góp phần hạn chế việc sử dụng </w:t>
      </w:r>
      <w:r w:rsidRPr="006F315D">
        <w:rPr>
          <w:rFonts w:asciiTheme="majorHAnsi" w:hAnsiTheme="majorHAnsi" w:cstheme="majorHAnsi"/>
          <w:sz w:val="28"/>
          <w:szCs w:val="28"/>
          <w:lang w:val="sv-SE"/>
        </w:rPr>
        <w:t xml:space="preserve">sản phẩm nhiên liệu </w:t>
      </w:r>
      <w:r w:rsidRPr="006F315D">
        <w:rPr>
          <w:rFonts w:asciiTheme="majorHAnsi" w:hAnsiTheme="majorHAnsi" w:cstheme="majorHAnsi"/>
          <w:sz w:val="28"/>
          <w:szCs w:val="28"/>
          <w:lang w:val="sv-SE"/>
        </w:rPr>
        <w:lastRenderedPageBreak/>
        <w:t xml:space="preserve">hóa thạch, gây ô nhiễm môi trường; </w:t>
      </w:r>
      <w:r w:rsidRPr="006F315D">
        <w:rPr>
          <w:sz w:val="28"/>
          <w:szCs w:val="28"/>
          <w:bdr w:val="none" w:sz="0" w:space="0" w:color="auto" w:frame="1"/>
          <w:lang w:val="nl-NL" w:eastAsia="vi-VN"/>
        </w:rPr>
        <w:t>khuyến khích tổ chức, cá nhân sản xuất, sử dụng sản phẩm thay thế, thân thiện với môi trường (</w:t>
      </w:r>
      <w:r w:rsidR="00270AD7">
        <w:rPr>
          <w:sz w:val="28"/>
          <w:szCs w:val="28"/>
          <w:bdr w:val="none" w:sz="0" w:space="0" w:color="auto" w:frame="1"/>
          <w:lang w:val="nl-NL" w:eastAsia="vi-VN"/>
        </w:rPr>
        <w:t>nh</w:t>
      </w:r>
      <w:r w:rsidR="00270AD7" w:rsidRPr="00270AD7">
        <w:rPr>
          <w:sz w:val="28"/>
          <w:szCs w:val="28"/>
          <w:bdr w:val="none" w:sz="0" w:space="0" w:color="auto" w:frame="1"/>
          <w:lang w:val="nl-NL" w:eastAsia="vi-VN"/>
        </w:rPr>
        <w:t>ư</w:t>
      </w:r>
      <w:r w:rsidR="00270AD7">
        <w:rPr>
          <w:sz w:val="28"/>
          <w:szCs w:val="28"/>
          <w:bdr w:val="none" w:sz="0" w:space="0" w:color="auto" w:frame="1"/>
          <w:lang w:val="nl-NL" w:eastAsia="vi-VN"/>
        </w:rPr>
        <w:t xml:space="preserve"> </w:t>
      </w:r>
      <w:r w:rsidRPr="006F315D">
        <w:rPr>
          <w:sz w:val="28"/>
          <w:szCs w:val="28"/>
          <w:bdr w:val="none" w:sz="0" w:space="0" w:color="auto" w:frame="1"/>
          <w:lang w:val="nl-NL" w:eastAsia="vi-VN"/>
        </w:rPr>
        <w:t xml:space="preserve">xăng dầu sinh học); </w:t>
      </w:r>
      <w:r w:rsidRPr="006F315D">
        <w:rPr>
          <w:rFonts w:asciiTheme="majorHAnsi" w:hAnsiTheme="majorHAnsi" w:cstheme="majorHAnsi"/>
          <w:sz w:val="28"/>
          <w:szCs w:val="28"/>
          <w:lang w:val="nl-NL"/>
        </w:rPr>
        <w:t>đảm bảo lợi ích quốc gia trong điều kiện hội nhập sâu khi thực hiện cắt giảm dần thuế nhập khẩu theo các cam kết quốc tế và giá dầu có biến động khó lường thì cần nghiên cứu điều chỉnh mức thuế BVMT đối với xăng dầu.</w:t>
      </w:r>
    </w:p>
    <w:p w:rsidR="00396B4A" w:rsidRPr="006F315D" w:rsidRDefault="00C43799" w:rsidP="00DF3E56">
      <w:pPr>
        <w:spacing w:before="60" w:after="60" w:line="264" w:lineRule="auto"/>
        <w:ind w:firstLine="720"/>
        <w:jc w:val="both"/>
        <w:rPr>
          <w:b/>
          <w:spacing w:val="-2"/>
          <w:sz w:val="28"/>
          <w:szCs w:val="28"/>
          <w:lang w:val="nl-NL"/>
        </w:rPr>
      </w:pPr>
      <w:r w:rsidRPr="006F315D">
        <w:rPr>
          <w:b/>
          <w:spacing w:val="-2"/>
          <w:sz w:val="28"/>
          <w:szCs w:val="28"/>
          <w:lang w:val="nl-NL"/>
        </w:rPr>
        <w:t>2. Đối với than đá</w:t>
      </w:r>
    </w:p>
    <w:p w:rsidR="00192BE2" w:rsidRPr="006F315D" w:rsidRDefault="00192BE2" w:rsidP="00DF3E56">
      <w:pPr>
        <w:spacing w:before="60" w:after="60" w:line="264" w:lineRule="auto"/>
        <w:ind w:firstLine="720"/>
        <w:jc w:val="both"/>
        <w:rPr>
          <w:rFonts w:asciiTheme="majorHAnsi" w:hAnsiTheme="majorHAnsi" w:cstheme="majorHAnsi"/>
          <w:sz w:val="28"/>
          <w:szCs w:val="28"/>
          <w:lang w:val="sv-SE"/>
        </w:rPr>
      </w:pPr>
      <w:r w:rsidRPr="006F315D">
        <w:rPr>
          <w:rFonts w:asciiTheme="majorHAnsi" w:hAnsiTheme="majorHAnsi" w:cstheme="majorHAnsi"/>
          <w:sz w:val="28"/>
          <w:szCs w:val="28"/>
          <w:lang w:val="sv-SE"/>
        </w:rPr>
        <w:t xml:space="preserve">Khung và mức thuế BVMT hiện hành đối với than </w:t>
      </w:r>
      <w:r w:rsidR="006E4D5A" w:rsidRPr="006E4D5A">
        <w:rPr>
          <w:rFonts w:asciiTheme="majorHAnsi" w:hAnsiTheme="majorHAnsi" w:cstheme="majorHAnsi"/>
          <w:sz w:val="28"/>
          <w:szCs w:val="28"/>
          <w:lang w:val="sv-SE"/>
        </w:rPr>
        <w:t>đá</w:t>
      </w:r>
      <w:r w:rsidR="006E4D5A">
        <w:rPr>
          <w:rFonts w:asciiTheme="majorHAnsi" w:hAnsiTheme="majorHAnsi" w:cstheme="majorHAnsi"/>
          <w:sz w:val="28"/>
          <w:szCs w:val="28"/>
          <w:lang w:val="sv-SE"/>
        </w:rPr>
        <w:t xml:space="preserve"> </w:t>
      </w:r>
      <w:r w:rsidRPr="006F315D">
        <w:rPr>
          <w:rFonts w:asciiTheme="majorHAnsi" w:hAnsiTheme="majorHAnsi" w:cstheme="majorHAnsi"/>
          <w:sz w:val="28"/>
          <w:szCs w:val="28"/>
          <w:lang w:val="sv-SE"/>
        </w:rPr>
        <w:t>như sau:</w:t>
      </w:r>
    </w:p>
    <w:p w:rsidR="00192BE2" w:rsidRPr="006F315D" w:rsidRDefault="00192BE2" w:rsidP="00DF3E56">
      <w:pPr>
        <w:spacing w:before="60" w:after="60" w:line="264" w:lineRule="auto"/>
        <w:ind w:firstLine="720"/>
        <w:jc w:val="both"/>
        <w:rPr>
          <w:rFonts w:asciiTheme="majorHAnsi" w:hAnsiTheme="majorHAnsi" w:cstheme="majorHAnsi"/>
          <w:sz w:val="28"/>
          <w:szCs w:val="28"/>
          <w:lang w:val="sv-SE"/>
        </w:rPr>
      </w:pPr>
      <w:r w:rsidRPr="006F315D">
        <w:rPr>
          <w:rFonts w:asciiTheme="majorHAnsi" w:hAnsiTheme="majorHAnsi" w:cstheme="majorHAnsi"/>
          <w:sz w:val="28"/>
          <w:szCs w:val="28"/>
          <w:lang w:val="sv-SE"/>
        </w:rPr>
        <w:t>- Than antraxit: Khung mức thuế từ 20.000-50.000 đồng/tấn. Mức thuế hiện hành là 20.000 đồng/tấn (mức sàn trong khung mức thuế).</w:t>
      </w:r>
    </w:p>
    <w:p w:rsidR="00192BE2" w:rsidRPr="006F315D" w:rsidRDefault="00192BE2" w:rsidP="00DF3E56">
      <w:pPr>
        <w:spacing w:before="60" w:after="60" w:line="264" w:lineRule="auto"/>
        <w:ind w:firstLine="720"/>
        <w:jc w:val="both"/>
        <w:rPr>
          <w:rFonts w:asciiTheme="majorHAnsi" w:hAnsiTheme="majorHAnsi" w:cstheme="majorHAnsi"/>
          <w:sz w:val="28"/>
          <w:szCs w:val="28"/>
          <w:lang w:val="sv-SE"/>
        </w:rPr>
      </w:pPr>
      <w:r w:rsidRPr="006F315D">
        <w:rPr>
          <w:rFonts w:asciiTheme="majorHAnsi" w:hAnsiTheme="majorHAnsi" w:cstheme="majorHAnsi"/>
          <w:sz w:val="28"/>
          <w:szCs w:val="28"/>
          <w:lang w:val="sv-SE"/>
        </w:rPr>
        <w:t xml:space="preserve">- Than nâu, than mỡ, than đá khác: Khung mức thuế từ 10.000-30.000 đồng/tấn. Mức thuế hiện hành là 10.000 đồng/tấn (mức sàn trong khung mức thuế). </w:t>
      </w:r>
    </w:p>
    <w:p w:rsidR="006D2650" w:rsidRPr="006F315D" w:rsidRDefault="006D2650" w:rsidP="00DF3E56">
      <w:pPr>
        <w:widowControl w:val="0"/>
        <w:spacing w:before="60" w:after="60" w:line="264" w:lineRule="auto"/>
        <w:ind w:firstLine="720"/>
        <w:jc w:val="both"/>
        <w:rPr>
          <w:rFonts w:asciiTheme="majorHAnsi" w:hAnsiTheme="majorHAnsi" w:cstheme="majorHAnsi"/>
          <w:lang w:val="nl-NL" w:eastAsia="vi-VN"/>
        </w:rPr>
      </w:pPr>
      <w:r w:rsidRPr="006F315D">
        <w:rPr>
          <w:rFonts w:asciiTheme="majorHAnsi" w:hAnsiTheme="majorHAnsi" w:cstheme="majorHAnsi"/>
          <w:spacing w:val="-2"/>
          <w:sz w:val="28"/>
          <w:szCs w:val="28"/>
          <w:lang w:val="nl-NL"/>
        </w:rPr>
        <w:t xml:space="preserve">Than là một trong những sản phẩm gây ô nhiễm môi trường nghiêm trọng khi sử dụng. Quá trình đốt cháy than cho sản xuất tạo ra khí gây hiệu ứng nhà kính (khí mêtan) và các chất ô nhiễm độc hại khác (carbon dioxide, các hợp chất thủy ngân, lưu huỳnh dioxit, nitơ oxit). </w:t>
      </w:r>
      <w:r w:rsidRPr="006F315D">
        <w:rPr>
          <w:rFonts w:asciiTheme="majorHAnsi" w:hAnsiTheme="majorHAnsi" w:cstheme="majorHAnsi"/>
          <w:sz w:val="28"/>
          <w:szCs w:val="28"/>
          <w:bdr w:val="none" w:sz="0" w:space="0" w:color="auto" w:frame="1"/>
          <w:lang w:val="vi-VN" w:eastAsia="vi-VN"/>
        </w:rPr>
        <w:t>Theo kết quả nghiên cứu cho thấy</w:t>
      </w:r>
      <w:r w:rsidRPr="006F315D">
        <w:rPr>
          <w:rStyle w:val="FootnoteReference"/>
          <w:rFonts w:asciiTheme="majorHAnsi" w:hAnsiTheme="majorHAnsi" w:cstheme="majorHAnsi"/>
          <w:bdr w:val="none" w:sz="0" w:space="0" w:color="auto" w:frame="1"/>
          <w:lang w:val="vi-VN" w:eastAsia="vi-VN"/>
        </w:rPr>
        <w:footnoteReference w:id="2"/>
      </w:r>
      <w:r w:rsidRPr="006F315D">
        <w:rPr>
          <w:rFonts w:asciiTheme="majorHAnsi" w:hAnsiTheme="majorHAnsi" w:cstheme="majorHAnsi"/>
          <w:sz w:val="28"/>
          <w:szCs w:val="28"/>
          <w:bdr w:val="none" w:sz="0" w:space="0" w:color="auto" w:frame="1"/>
          <w:lang w:val="vi-VN" w:eastAsia="vi-VN"/>
        </w:rPr>
        <w:t xml:space="preserve">, xét về thành phần hóa học và mức độ tác động đến môi trường thì mức độ ô nhiễm môi trường của than đá cao hơn so với xăng dầu. </w:t>
      </w:r>
      <w:r w:rsidRPr="006F315D">
        <w:rPr>
          <w:rFonts w:asciiTheme="majorHAnsi" w:hAnsiTheme="majorHAnsi" w:cstheme="majorHAnsi"/>
          <w:spacing w:val="-2"/>
          <w:sz w:val="28"/>
          <w:szCs w:val="28"/>
          <w:lang w:val="nl-NL"/>
        </w:rPr>
        <w:t xml:space="preserve">Kể từ thời điểm Luật thuế BVMT có hiệu lực thi hành (ngày 01/01/2012) đến nay, mức thuế BVMT đối với nhóm than đá đều ở mức tối thiểu trong khung thuế. </w:t>
      </w:r>
    </w:p>
    <w:p w:rsidR="00A477EE" w:rsidRPr="006F315D" w:rsidRDefault="00A477EE" w:rsidP="00DF3E56">
      <w:pPr>
        <w:spacing w:before="60" w:after="60" w:line="264" w:lineRule="auto"/>
        <w:ind w:firstLine="720"/>
        <w:jc w:val="both"/>
        <w:rPr>
          <w:rFonts w:asciiTheme="majorHAnsi" w:hAnsiTheme="majorHAnsi" w:cstheme="majorHAnsi"/>
          <w:spacing w:val="-2"/>
          <w:sz w:val="28"/>
          <w:szCs w:val="28"/>
          <w:lang w:val="nl-NL"/>
        </w:rPr>
      </w:pPr>
      <w:r w:rsidRPr="006F315D">
        <w:rPr>
          <w:rFonts w:asciiTheme="majorHAnsi" w:hAnsiTheme="majorHAnsi" w:cstheme="majorHAnsi"/>
          <w:spacing w:val="-2"/>
          <w:sz w:val="28"/>
          <w:szCs w:val="28"/>
          <w:lang w:val="nl-NL"/>
        </w:rPr>
        <w:t xml:space="preserve">Do đó, cần điều chỉnh mức thuế BVMT đối với nhóm than đá để khuyến khích hơn nữa việc sử dụng tiết kiệm nguồn tài nguyên </w:t>
      </w:r>
      <w:r w:rsidR="00287E79" w:rsidRPr="006F315D">
        <w:rPr>
          <w:rFonts w:asciiTheme="majorHAnsi" w:hAnsiTheme="majorHAnsi" w:cstheme="majorHAnsi"/>
          <w:spacing w:val="-2"/>
          <w:sz w:val="28"/>
          <w:szCs w:val="28"/>
          <w:lang w:val="nl-NL"/>
        </w:rPr>
        <w:t xml:space="preserve">than và giảm ô nhiễm môi trường, thực hiện cam kết quốc tế của Việt Nam về </w:t>
      </w:r>
      <w:r w:rsidR="0076476B" w:rsidRPr="006F315D">
        <w:rPr>
          <w:rFonts w:asciiTheme="majorHAnsi" w:hAnsiTheme="majorHAnsi" w:cstheme="majorHAnsi"/>
          <w:spacing w:val="-2"/>
          <w:sz w:val="28"/>
          <w:szCs w:val="28"/>
          <w:lang w:val="nl-NL"/>
        </w:rPr>
        <w:t>BVMT.</w:t>
      </w:r>
    </w:p>
    <w:p w:rsidR="00645882" w:rsidRPr="006F315D" w:rsidRDefault="00645882" w:rsidP="00DF3E56">
      <w:pPr>
        <w:spacing w:before="60" w:after="60" w:line="264" w:lineRule="auto"/>
        <w:ind w:firstLine="720"/>
        <w:jc w:val="both"/>
        <w:rPr>
          <w:rFonts w:asciiTheme="majorHAnsi" w:hAnsiTheme="majorHAnsi" w:cstheme="majorHAnsi"/>
          <w:b/>
          <w:spacing w:val="-2"/>
          <w:sz w:val="28"/>
          <w:szCs w:val="28"/>
          <w:lang w:val="nl-NL"/>
        </w:rPr>
      </w:pPr>
      <w:r w:rsidRPr="006F315D">
        <w:rPr>
          <w:rFonts w:asciiTheme="majorHAnsi" w:hAnsiTheme="majorHAnsi" w:cstheme="majorHAnsi"/>
          <w:b/>
          <w:spacing w:val="-2"/>
          <w:sz w:val="28"/>
          <w:szCs w:val="28"/>
          <w:lang w:val="nl-NL"/>
        </w:rPr>
        <w:t xml:space="preserve">3. </w:t>
      </w:r>
      <w:r w:rsidR="004E00DA" w:rsidRPr="006F315D">
        <w:rPr>
          <w:rFonts w:asciiTheme="majorHAnsi" w:hAnsiTheme="majorHAnsi" w:cstheme="majorHAnsi"/>
          <w:b/>
          <w:spacing w:val="-2"/>
          <w:sz w:val="28"/>
          <w:szCs w:val="28"/>
          <w:lang w:val="nl-NL"/>
        </w:rPr>
        <w:t>Đối với dung dịch HCFC</w:t>
      </w:r>
    </w:p>
    <w:p w:rsidR="00645882" w:rsidRPr="006F315D" w:rsidRDefault="00645882" w:rsidP="00DF3E56">
      <w:pPr>
        <w:widowControl w:val="0"/>
        <w:spacing w:before="60" w:after="60" w:line="264" w:lineRule="auto"/>
        <w:ind w:firstLine="720"/>
        <w:jc w:val="both"/>
        <w:rPr>
          <w:rFonts w:asciiTheme="majorHAnsi" w:hAnsiTheme="majorHAnsi" w:cstheme="majorHAnsi"/>
          <w:sz w:val="28"/>
          <w:szCs w:val="28"/>
          <w:lang w:val="nl-NL" w:eastAsia="vi-VN"/>
        </w:rPr>
      </w:pPr>
      <w:r w:rsidRPr="006F315D">
        <w:rPr>
          <w:rFonts w:asciiTheme="majorHAnsi" w:hAnsiTheme="majorHAnsi" w:cstheme="majorHAnsi"/>
          <w:sz w:val="28"/>
          <w:szCs w:val="28"/>
          <w:lang w:val="nl-NL" w:eastAsia="vi-VN"/>
        </w:rPr>
        <w:t xml:space="preserve">Luật thuế BVMT quy định khung thuế BVMT đối với dung dịch HCFC từ 3.000-5.000 đồng/kg. Mức thuế BVMT cụ thể hiện hành đối với </w:t>
      </w:r>
      <w:r w:rsidR="009214CA" w:rsidRPr="006F315D">
        <w:rPr>
          <w:rFonts w:asciiTheme="majorHAnsi" w:hAnsiTheme="majorHAnsi" w:cstheme="majorHAnsi"/>
          <w:sz w:val="28"/>
          <w:szCs w:val="28"/>
          <w:lang w:val="nl-NL" w:eastAsia="vi-VN"/>
        </w:rPr>
        <w:t>dung dịch HCFC</w:t>
      </w:r>
      <w:r w:rsidRPr="006F315D">
        <w:rPr>
          <w:rFonts w:asciiTheme="majorHAnsi" w:hAnsiTheme="majorHAnsi" w:cstheme="majorHAnsi"/>
          <w:sz w:val="28"/>
          <w:szCs w:val="28"/>
          <w:lang w:val="nl-NL" w:eastAsia="vi-VN"/>
        </w:rPr>
        <w:t xml:space="preserve"> là 4.000 đồng/kg.</w:t>
      </w:r>
    </w:p>
    <w:p w:rsidR="00645882" w:rsidRPr="006F315D" w:rsidRDefault="00645882" w:rsidP="00DF3E56">
      <w:pPr>
        <w:widowControl w:val="0"/>
        <w:spacing w:before="60" w:after="60" w:line="264" w:lineRule="auto"/>
        <w:ind w:firstLine="720"/>
        <w:jc w:val="both"/>
        <w:rPr>
          <w:rFonts w:asciiTheme="majorHAnsi" w:hAnsiTheme="majorHAnsi" w:cstheme="majorHAnsi"/>
          <w:color w:val="000000"/>
          <w:sz w:val="28"/>
          <w:szCs w:val="28"/>
          <w:lang w:val="pt-BR"/>
        </w:rPr>
      </w:pPr>
      <w:r w:rsidRPr="006F315D">
        <w:rPr>
          <w:rFonts w:asciiTheme="majorHAnsi" w:hAnsiTheme="majorHAnsi" w:cstheme="majorHAnsi"/>
          <w:bCs/>
          <w:sz w:val="28"/>
          <w:szCs w:val="28"/>
          <w:lang w:val="pt-BR"/>
        </w:rPr>
        <w:t xml:space="preserve">Việt Nam đã cam kết hoàn thành loại bỏ việc sản xuất các chất làm suy giảm tầng ô dôn, trong </w:t>
      </w:r>
      <w:r w:rsidR="00835711" w:rsidRPr="006F315D">
        <w:rPr>
          <w:rFonts w:asciiTheme="majorHAnsi" w:hAnsiTheme="majorHAnsi" w:cstheme="majorHAnsi"/>
          <w:bCs/>
          <w:sz w:val="28"/>
          <w:szCs w:val="28"/>
          <w:lang w:val="pt-BR"/>
        </w:rPr>
        <w:t xml:space="preserve"> </w:t>
      </w:r>
      <w:r w:rsidRPr="006F315D">
        <w:rPr>
          <w:rFonts w:asciiTheme="majorHAnsi" w:hAnsiTheme="majorHAnsi" w:cstheme="majorHAnsi"/>
          <w:bCs/>
          <w:sz w:val="28"/>
          <w:szCs w:val="28"/>
          <w:lang w:val="pt-BR"/>
        </w:rPr>
        <w:t xml:space="preserve">đó có dung dịch HCFC vào năm 2030 tại Nghị định thư Montreal về các chất làm suy giảm tầng ô dôn (Đây là một hiệp ước quốc tế được thiết kế để bảo vệ tầng ô dôn và Việt Nam là thành viên từ tháng 01/1994). Do đó, </w:t>
      </w:r>
      <w:r w:rsidRPr="006F315D">
        <w:rPr>
          <w:rStyle w:val="FontStyle18"/>
          <w:rFonts w:asciiTheme="majorHAnsi" w:hAnsiTheme="majorHAnsi" w:cstheme="majorHAnsi"/>
          <w:sz w:val="28"/>
          <w:szCs w:val="28"/>
          <w:lang w:val="nl-NL"/>
        </w:rPr>
        <w:t>đ</w:t>
      </w:r>
      <w:r w:rsidRPr="006F315D">
        <w:rPr>
          <w:rFonts w:asciiTheme="majorHAnsi" w:hAnsiTheme="majorHAnsi" w:cstheme="majorHAnsi"/>
          <w:sz w:val="28"/>
          <w:szCs w:val="28"/>
          <w:lang w:val="sv-SE"/>
        </w:rPr>
        <w:t xml:space="preserve">ể góp phần thực hiện cam kết của Việt Nam trong loại bỏ việc sản xuất và sử dụng HCFC </w:t>
      </w:r>
      <w:r w:rsidR="000D4214" w:rsidRPr="006F315D">
        <w:rPr>
          <w:rFonts w:asciiTheme="majorHAnsi" w:hAnsiTheme="majorHAnsi" w:cstheme="majorHAnsi"/>
          <w:sz w:val="28"/>
          <w:szCs w:val="28"/>
          <w:lang w:val="sv-SE"/>
        </w:rPr>
        <w:t>vào</w:t>
      </w:r>
      <w:r w:rsidRPr="006F315D">
        <w:rPr>
          <w:rFonts w:asciiTheme="majorHAnsi" w:hAnsiTheme="majorHAnsi" w:cstheme="majorHAnsi"/>
          <w:sz w:val="28"/>
          <w:szCs w:val="28"/>
          <w:lang w:val="sv-SE"/>
        </w:rPr>
        <w:t xml:space="preserve"> năm 2030 thì </w:t>
      </w:r>
      <w:r w:rsidRPr="006F315D">
        <w:rPr>
          <w:rFonts w:asciiTheme="majorHAnsi" w:hAnsiTheme="majorHAnsi" w:cstheme="majorHAnsi"/>
          <w:bCs/>
          <w:sz w:val="28"/>
          <w:szCs w:val="28"/>
          <w:lang w:val="pt-BR"/>
        </w:rPr>
        <w:t>cần thiết nghiên cứu điều chỉnh mức thuế BVMT đối với dung dịch HCFC.</w:t>
      </w:r>
    </w:p>
    <w:p w:rsidR="000D038B" w:rsidRDefault="000D038B">
      <w:pPr>
        <w:spacing w:after="200" w:line="276" w:lineRule="auto"/>
        <w:rPr>
          <w:b/>
          <w:sz w:val="28"/>
          <w:szCs w:val="28"/>
          <w:lang w:val="nl-NL"/>
        </w:rPr>
      </w:pPr>
      <w:r>
        <w:rPr>
          <w:b/>
          <w:sz w:val="28"/>
          <w:szCs w:val="28"/>
          <w:lang w:val="nl-NL"/>
        </w:rPr>
        <w:br w:type="page"/>
      </w:r>
    </w:p>
    <w:p w:rsidR="00396B4A" w:rsidRPr="006F315D" w:rsidRDefault="00645882" w:rsidP="00DF3E56">
      <w:pPr>
        <w:spacing w:before="60" w:after="60" w:line="264" w:lineRule="auto"/>
        <w:ind w:firstLine="720"/>
        <w:jc w:val="both"/>
        <w:rPr>
          <w:b/>
          <w:sz w:val="28"/>
          <w:szCs w:val="28"/>
          <w:lang w:val="nl-NL"/>
        </w:rPr>
      </w:pPr>
      <w:r w:rsidRPr="006F315D">
        <w:rPr>
          <w:b/>
          <w:sz w:val="28"/>
          <w:szCs w:val="28"/>
          <w:lang w:val="nl-NL"/>
        </w:rPr>
        <w:lastRenderedPageBreak/>
        <w:t>4</w:t>
      </w:r>
      <w:r w:rsidR="00BA6372" w:rsidRPr="006F315D">
        <w:rPr>
          <w:b/>
          <w:sz w:val="28"/>
          <w:szCs w:val="28"/>
          <w:lang w:val="nl-NL"/>
        </w:rPr>
        <w:t>. Đối với túi ni lông thuộc diện chịu thuế</w:t>
      </w:r>
    </w:p>
    <w:p w:rsidR="00396B4A" w:rsidRPr="006F315D" w:rsidRDefault="00396B4A" w:rsidP="00DF3E56">
      <w:pPr>
        <w:spacing w:before="60" w:after="60" w:line="264" w:lineRule="auto"/>
        <w:ind w:firstLine="720"/>
        <w:jc w:val="both"/>
        <w:rPr>
          <w:sz w:val="28"/>
          <w:szCs w:val="28"/>
          <w:lang w:val="nl-NL"/>
        </w:rPr>
      </w:pPr>
      <w:r w:rsidRPr="006F315D">
        <w:rPr>
          <w:sz w:val="28"/>
          <w:szCs w:val="28"/>
          <w:lang w:val="nl-NL" w:eastAsia="vi-VN"/>
        </w:rPr>
        <w:t xml:space="preserve">Luật thuế BVMT quy định khung thuế BVMT đối với túi ni lông từ 30.000-50.000 đồng/kg. Mức thuế BVMT cụ thể hiện hành đối với túi ni lông là 40.000 đồng/kg, tương </w:t>
      </w:r>
      <w:r w:rsidR="000D038B">
        <w:rPr>
          <w:sz w:val="28"/>
          <w:szCs w:val="28"/>
          <w:lang w:val="nl-NL" w:eastAsia="vi-VN"/>
        </w:rPr>
        <w:t xml:space="preserve">đương khoảng 200-400 đồng/túi (1 </w:t>
      </w:r>
      <w:r w:rsidRPr="006F315D">
        <w:rPr>
          <w:sz w:val="28"/>
          <w:szCs w:val="28"/>
          <w:lang w:val="nl-NL" w:eastAsia="vi-VN"/>
        </w:rPr>
        <w:t>kg túi ni lông có thể có từ 100-200 túi). Nếu tăng mức thuế BVMT đối với túi ni lông lên mức tối đa trong khung thuế là 50.000 đồng/kg thì cũng chỉ tương đương từ 250-500 đồng/túi.</w:t>
      </w:r>
    </w:p>
    <w:p w:rsidR="00396B4A" w:rsidRPr="006F315D" w:rsidRDefault="00396B4A" w:rsidP="00DF3E56">
      <w:pPr>
        <w:spacing w:before="60" w:after="60" w:line="264" w:lineRule="auto"/>
        <w:ind w:firstLine="720"/>
        <w:jc w:val="both"/>
        <w:rPr>
          <w:sz w:val="28"/>
          <w:szCs w:val="28"/>
          <w:lang w:val="nl-NL"/>
        </w:rPr>
      </w:pPr>
      <w:r w:rsidRPr="006F315D">
        <w:rPr>
          <w:sz w:val="28"/>
          <w:szCs w:val="28"/>
          <w:lang w:val="nl-NL" w:eastAsia="vi-VN"/>
        </w:rPr>
        <w:t>Kinh nghiệm quốc tế cho thấy nhiều nước trên thế giới đang áp dụng mức thuế BVMT cao hoặc cấm sản xuất, bán, sử dụng túi ni lông. Cụ thể như: ở Anh: 15 cent/túi, tương đương 4.500 đồng/túi; Ailen: 15 cent/túi, tương đương 4.500 đồng/túi; Hồng Kông: 0,05</w:t>
      </w:r>
      <w:r w:rsidR="001A4D0A" w:rsidRPr="006F315D">
        <w:rPr>
          <w:sz w:val="28"/>
          <w:szCs w:val="28"/>
          <w:lang w:val="nl-NL" w:eastAsia="vi-VN"/>
        </w:rPr>
        <w:t xml:space="preserve"> </w:t>
      </w:r>
      <w:r w:rsidRPr="006F315D">
        <w:rPr>
          <w:sz w:val="28"/>
          <w:szCs w:val="28"/>
          <w:lang w:val="nl-NL" w:eastAsia="vi-VN"/>
        </w:rPr>
        <w:t>USD/túi, tương đương 1.050 đồng/túi; Estonia đang dự kiến thu thuế đối với túi ni lông ở mức 2 kroons/túi, tương đương 3.000 đồng/túi. Một số nước khác còn cấm sản xuất, bán, sử dụng túi ni lông mỏng, ví dụ như Trung Quốc cấm sản xuất, bán, sử dụng túi ni lông có độ dày nhỏ hơn 0,025</w:t>
      </w:r>
      <w:r w:rsidR="00270AD7">
        <w:rPr>
          <w:sz w:val="28"/>
          <w:szCs w:val="28"/>
          <w:lang w:val="nl-NL" w:eastAsia="vi-VN"/>
        </w:rPr>
        <w:t xml:space="preserve"> </w:t>
      </w:r>
      <w:r w:rsidRPr="006F315D">
        <w:rPr>
          <w:sz w:val="28"/>
          <w:szCs w:val="28"/>
          <w:lang w:val="nl-NL" w:eastAsia="vi-VN"/>
        </w:rPr>
        <w:t>mm.</w:t>
      </w:r>
    </w:p>
    <w:p w:rsidR="00396B4A" w:rsidRPr="006F315D" w:rsidRDefault="00396B4A" w:rsidP="00DF3E56">
      <w:pPr>
        <w:spacing w:before="60" w:after="60" w:line="264" w:lineRule="auto"/>
        <w:ind w:firstLine="720"/>
        <w:jc w:val="both"/>
        <w:rPr>
          <w:sz w:val="28"/>
          <w:szCs w:val="28"/>
          <w:lang w:val="nl-NL" w:eastAsia="vi-VN"/>
        </w:rPr>
      </w:pPr>
      <w:r w:rsidRPr="006F315D">
        <w:rPr>
          <w:sz w:val="28"/>
          <w:szCs w:val="28"/>
          <w:lang w:val="nl-NL" w:eastAsia="vi-VN"/>
        </w:rPr>
        <w:t>Như vậy, mức thuế BVMT đối với túi ni lông của Việt Nam là thấp nên chưa tác động nhiều tới hạn chế việc sản xuất, sử dụng túi ni lông. Do đó, cùng với các biện pháp quản lý khác, để góp phần thực hiện mục tiêu giảm dần việc sử dụng túi ni lông khó phân hủy trong tiêu dùng, phù hợp với thông lệ quốc tế thì cần thiết điều chỉnh mức thuế đối với túi ni lông thuộc diện chịu thuế.</w:t>
      </w:r>
    </w:p>
    <w:p w:rsidR="00523F77" w:rsidRPr="006F315D" w:rsidRDefault="00523F77" w:rsidP="00DF3E56">
      <w:pPr>
        <w:overflowPunct w:val="0"/>
        <w:autoSpaceDE w:val="0"/>
        <w:autoSpaceDN w:val="0"/>
        <w:adjustRightInd w:val="0"/>
        <w:spacing w:before="60" w:after="60" w:line="264" w:lineRule="auto"/>
        <w:ind w:firstLine="720"/>
        <w:jc w:val="both"/>
        <w:rPr>
          <w:b/>
          <w:sz w:val="28"/>
          <w:szCs w:val="28"/>
          <w:lang w:val="nl-NL"/>
        </w:rPr>
      </w:pPr>
      <w:r w:rsidRPr="006F315D">
        <w:rPr>
          <w:b/>
          <w:sz w:val="28"/>
          <w:szCs w:val="28"/>
          <w:lang w:val="nl-NL"/>
        </w:rPr>
        <w:t xml:space="preserve">5. Đối với </w:t>
      </w:r>
      <w:r w:rsidR="00016F0F" w:rsidRPr="006F315D">
        <w:rPr>
          <w:b/>
          <w:sz w:val="28"/>
          <w:szCs w:val="28"/>
          <w:lang w:val="nl-NL"/>
        </w:rPr>
        <w:t xml:space="preserve">tên hoạt chất và tên thương phẩm </w:t>
      </w:r>
      <w:r w:rsidR="00137EB9" w:rsidRPr="006F315D">
        <w:rPr>
          <w:b/>
          <w:sz w:val="28"/>
          <w:szCs w:val="28"/>
          <w:lang w:val="nl-NL"/>
        </w:rPr>
        <w:t xml:space="preserve">của </w:t>
      </w:r>
      <w:r w:rsidRPr="006F315D">
        <w:rPr>
          <w:rFonts w:asciiTheme="majorHAnsi" w:hAnsiTheme="majorHAnsi" w:cstheme="majorHAnsi"/>
          <w:b/>
          <w:sz w:val="28"/>
          <w:szCs w:val="28"/>
          <w:lang w:val="sv-SE"/>
        </w:rPr>
        <w:t>nhóm thuốc bảo vệ thực vật thuộc loại hạn chế sử dụng</w:t>
      </w:r>
    </w:p>
    <w:p w:rsidR="00523F77" w:rsidRPr="006F315D" w:rsidRDefault="00523F77" w:rsidP="00DF3E56">
      <w:pPr>
        <w:widowControl w:val="0"/>
        <w:spacing w:before="60" w:after="60" w:line="264" w:lineRule="auto"/>
        <w:ind w:firstLine="720"/>
        <w:jc w:val="both"/>
        <w:rPr>
          <w:rFonts w:asciiTheme="majorHAnsi" w:hAnsiTheme="majorHAnsi" w:cstheme="majorHAnsi"/>
          <w:sz w:val="28"/>
          <w:szCs w:val="28"/>
          <w:lang w:val="nl-NL"/>
        </w:rPr>
      </w:pPr>
      <w:r w:rsidRPr="006F315D">
        <w:rPr>
          <w:rFonts w:asciiTheme="majorHAnsi" w:hAnsiTheme="majorHAnsi" w:cstheme="majorHAnsi"/>
          <w:sz w:val="28"/>
          <w:szCs w:val="28"/>
          <w:lang w:val="nl-NL"/>
        </w:rPr>
        <w:t>Tại khoản 5, 6, 7, 8 và 9 Luật thuế BVMT quy định về đối tượng chịu thuế BVMT như sau:</w:t>
      </w:r>
    </w:p>
    <w:p w:rsidR="00523F77" w:rsidRPr="006F315D" w:rsidRDefault="00523F77" w:rsidP="00DF3E56">
      <w:pPr>
        <w:spacing w:before="60" w:after="60" w:line="264" w:lineRule="auto"/>
        <w:ind w:firstLine="720"/>
        <w:jc w:val="both"/>
        <w:rPr>
          <w:rFonts w:asciiTheme="majorHAnsi" w:hAnsiTheme="majorHAnsi" w:cstheme="majorHAnsi"/>
          <w:i/>
          <w:sz w:val="28"/>
          <w:szCs w:val="28"/>
          <w:lang w:val="nl-NL"/>
        </w:rPr>
      </w:pPr>
      <w:r w:rsidRPr="006F315D">
        <w:rPr>
          <w:rFonts w:asciiTheme="majorHAnsi" w:hAnsiTheme="majorHAnsi" w:cstheme="majorHAnsi"/>
          <w:i/>
          <w:sz w:val="28"/>
          <w:szCs w:val="28"/>
          <w:lang w:val="nl-NL"/>
        </w:rPr>
        <w:t>“5. Thuốc diệt cỏ thuộc loại hạn chế sử dụng.</w:t>
      </w:r>
    </w:p>
    <w:p w:rsidR="00523F77" w:rsidRPr="006F315D" w:rsidRDefault="00523F77" w:rsidP="00DF3E56">
      <w:pPr>
        <w:spacing w:before="60" w:after="60" w:line="264" w:lineRule="auto"/>
        <w:ind w:firstLine="720"/>
        <w:jc w:val="both"/>
        <w:rPr>
          <w:rFonts w:asciiTheme="majorHAnsi" w:hAnsiTheme="majorHAnsi" w:cstheme="majorHAnsi"/>
          <w:i/>
          <w:sz w:val="28"/>
          <w:szCs w:val="28"/>
          <w:lang w:val="nl-NL"/>
        </w:rPr>
      </w:pPr>
      <w:r w:rsidRPr="006F315D">
        <w:rPr>
          <w:rFonts w:asciiTheme="majorHAnsi" w:hAnsiTheme="majorHAnsi" w:cstheme="majorHAnsi"/>
          <w:i/>
          <w:sz w:val="28"/>
          <w:szCs w:val="28"/>
          <w:lang w:val="nl-NL"/>
        </w:rPr>
        <w:t>6. Thuốc trừ mối thuộc loại hạn chế sử dụng.</w:t>
      </w:r>
    </w:p>
    <w:p w:rsidR="00523F77" w:rsidRPr="006F315D" w:rsidRDefault="00523F77" w:rsidP="00DF3E56">
      <w:pPr>
        <w:spacing w:before="60" w:after="60" w:line="264" w:lineRule="auto"/>
        <w:ind w:firstLine="720"/>
        <w:jc w:val="both"/>
        <w:rPr>
          <w:rFonts w:asciiTheme="majorHAnsi" w:hAnsiTheme="majorHAnsi" w:cstheme="majorHAnsi"/>
          <w:i/>
          <w:sz w:val="28"/>
          <w:szCs w:val="28"/>
          <w:lang w:val="nl-NL"/>
        </w:rPr>
      </w:pPr>
      <w:r w:rsidRPr="006F315D">
        <w:rPr>
          <w:rFonts w:asciiTheme="majorHAnsi" w:hAnsiTheme="majorHAnsi" w:cstheme="majorHAnsi"/>
          <w:i/>
          <w:sz w:val="28"/>
          <w:szCs w:val="28"/>
          <w:lang w:val="nl-NL"/>
        </w:rPr>
        <w:t>7. Thuốc bảo quản lâm sản thuộc loại hạn chế sử dụng.</w:t>
      </w:r>
    </w:p>
    <w:p w:rsidR="00523F77" w:rsidRPr="006F315D" w:rsidRDefault="00523F77" w:rsidP="00DF3E56">
      <w:pPr>
        <w:spacing w:before="60" w:after="60" w:line="264" w:lineRule="auto"/>
        <w:ind w:firstLine="720"/>
        <w:jc w:val="both"/>
        <w:rPr>
          <w:rFonts w:asciiTheme="majorHAnsi" w:hAnsiTheme="majorHAnsi" w:cstheme="majorHAnsi"/>
          <w:i/>
          <w:sz w:val="28"/>
          <w:szCs w:val="28"/>
          <w:lang w:val="nl-NL"/>
        </w:rPr>
      </w:pPr>
      <w:r w:rsidRPr="006F315D">
        <w:rPr>
          <w:rFonts w:asciiTheme="majorHAnsi" w:hAnsiTheme="majorHAnsi" w:cstheme="majorHAnsi"/>
          <w:i/>
          <w:sz w:val="28"/>
          <w:szCs w:val="28"/>
          <w:lang w:val="nl-NL"/>
        </w:rPr>
        <w:t>8. Thuốc khử trùng kho thuộc loại hạn chế sử dụng.</w:t>
      </w:r>
    </w:p>
    <w:p w:rsidR="00523F77" w:rsidRPr="006F315D" w:rsidRDefault="00523F77" w:rsidP="00DF3E56">
      <w:pPr>
        <w:spacing w:before="60" w:after="60" w:line="264" w:lineRule="auto"/>
        <w:ind w:firstLine="720"/>
        <w:jc w:val="both"/>
        <w:rPr>
          <w:rFonts w:asciiTheme="majorHAnsi" w:hAnsiTheme="majorHAnsi" w:cstheme="majorHAnsi"/>
          <w:sz w:val="28"/>
          <w:szCs w:val="28"/>
          <w:lang w:val="nl-NL"/>
        </w:rPr>
      </w:pPr>
      <w:r w:rsidRPr="006F315D">
        <w:rPr>
          <w:rFonts w:asciiTheme="majorHAnsi" w:hAnsiTheme="majorHAnsi" w:cstheme="majorHAnsi"/>
          <w:i/>
          <w:sz w:val="28"/>
          <w:szCs w:val="28"/>
          <w:lang w:val="nl-NL"/>
        </w:rPr>
        <w:t>9. Trường hợp xét thấy cần thiết phải bổ sung đối tượng chịu thuế khác cho phù hợp với từng thời kỳ thì Ủy ban thường vụ Quốc hội xem xét, quy định”</w:t>
      </w:r>
      <w:r w:rsidRPr="006F315D">
        <w:rPr>
          <w:rFonts w:asciiTheme="majorHAnsi" w:hAnsiTheme="majorHAnsi" w:cstheme="majorHAnsi"/>
          <w:sz w:val="28"/>
          <w:szCs w:val="28"/>
          <w:lang w:val="nl-NL"/>
        </w:rPr>
        <w:t>.</w:t>
      </w:r>
    </w:p>
    <w:p w:rsidR="00523F77" w:rsidRPr="006F315D" w:rsidRDefault="00755691" w:rsidP="00DF3E56">
      <w:pPr>
        <w:spacing w:before="60" w:after="60" w:line="264" w:lineRule="auto"/>
        <w:ind w:firstLine="720"/>
        <w:jc w:val="both"/>
        <w:rPr>
          <w:rFonts w:asciiTheme="majorHAnsi" w:hAnsiTheme="majorHAnsi" w:cstheme="majorHAnsi"/>
          <w:sz w:val="28"/>
          <w:szCs w:val="28"/>
          <w:lang w:val="nl-NL"/>
        </w:rPr>
      </w:pPr>
      <w:r>
        <w:rPr>
          <w:rFonts w:asciiTheme="majorHAnsi" w:hAnsiTheme="majorHAnsi" w:cstheme="majorHAnsi"/>
          <w:sz w:val="28"/>
          <w:szCs w:val="28"/>
          <w:lang w:val="nl-NL"/>
        </w:rPr>
        <w:t>Tại Nghị quyết về B</w:t>
      </w:r>
      <w:r w:rsidR="00523F77" w:rsidRPr="006F315D">
        <w:rPr>
          <w:rFonts w:asciiTheme="majorHAnsi" w:hAnsiTheme="majorHAnsi" w:cstheme="majorHAnsi"/>
          <w:sz w:val="28"/>
          <w:szCs w:val="28"/>
          <w:lang w:val="nl-NL"/>
        </w:rPr>
        <w:t>iểu thuế BVMT hiện hành (khoản 1 Điều 1) quy định danh mục các hàng hóa: Thuốc diệt cỏ thuộc loại hạn chế sử dụng (mục V); Thuốc trừ mối thuộc loại hạn chế sử dụng (mục VI); Thuốc bảo quản lâm sản thuộc loại hạn chế sử dụng (mục VII); Thuốc khử trùng kho thuộc loại hạn chế sử dụng (mục VIII) trên cơ sở quy định tại Luật thuế BVMT.</w:t>
      </w:r>
      <w:r w:rsidR="00137EB9" w:rsidRPr="006F315D">
        <w:rPr>
          <w:rFonts w:asciiTheme="majorHAnsi" w:hAnsiTheme="majorHAnsi" w:cstheme="majorHAnsi"/>
          <w:sz w:val="28"/>
          <w:szCs w:val="28"/>
          <w:lang w:val="nl-NL"/>
        </w:rPr>
        <w:t xml:space="preserve"> Đồng thời, tại Phụ lục kèm theo Nghị quyết về </w:t>
      </w:r>
      <w:r w:rsidR="00B307E1">
        <w:rPr>
          <w:rFonts w:asciiTheme="majorHAnsi" w:hAnsiTheme="majorHAnsi" w:cstheme="majorHAnsi"/>
          <w:sz w:val="28"/>
          <w:szCs w:val="28"/>
          <w:lang w:val="nl-NL"/>
        </w:rPr>
        <w:t>B</w:t>
      </w:r>
      <w:r w:rsidR="00137EB9" w:rsidRPr="006F315D">
        <w:rPr>
          <w:rFonts w:asciiTheme="majorHAnsi" w:hAnsiTheme="majorHAnsi" w:cstheme="majorHAnsi"/>
          <w:sz w:val="28"/>
          <w:szCs w:val="28"/>
          <w:lang w:val="nl-NL"/>
        </w:rPr>
        <w:t>iểu thuế BVMT hiện hành có quy định tên hoạt chất, tên thương phẩm của nhóm thuốc bảo vệ thực vật thuộc loại hạn chế sử dụng chịu thuế.</w:t>
      </w:r>
    </w:p>
    <w:p w:rsidR="00523F77" w:rsidRPr="006F315D" w:rsidRDefault="00523F77" w:rsidP="00DF3E56">
      <w:pPr>
        <w:widowControl w:val="0"/>
        <w:spacing w:before="60" w:after="60" w:line="264" w:lineRule="auto"/>
        <w:ind w:firstLine="700"/>
        <w:jc w:val="both"/>
        <w:rPr>
          <w:rFonts w:asciiTheme="majorHAnsi" w:hAnsiTheme="majorHAnsi" w:cstheme="majorHAnsi"/>
          <w:iCs/>
          <w:sz w:val="28"/>
          <w:szCs w:val="28"/>
          <w:lang w:val="sv-SE"/>
        </w:rPr>
      </w:pPr>
      <w:r w:rsidRPr="006F315D">
        <w:rPr>
          <w:rFonts w:asciiTheme="majorHAnsi" w:hAnsiTheme="majorHAnsi" w:cstheme="majorHAnsi"/>
          <w:iCs/>
          <w:sz w:val="28"/>
          <w:szCs w:val="28"/>
          <w:lang w:val="vi-VN"/>
        </w:rPr>
        <w:lastRenderedPageBreak/>
        <w:t>Theo Pháp lệnh Bảo vệ và Kiểm dịch thực vật</w:t>
      </w:r>
      <w:r w:rsidRPr="006F315D">
        <w:rPr>
          <w:rFonts w:asciiTheme="majorHAnsi" w:hAnsiTheme="majorHAnsi" w:cstheme="majorHAnsi"/>
          <w:iCs/>
          <w:sz w:val="28"/>
          <w:szCs w:val="28"/>
          <w:lang w:val="nl-NL"/>
        </w:rPr>
        <w:t xml:space="preserve"> năm 2001 thì hàng năm</w:t>
      </w:r>
      <w:r w:rsidRPr="006F315D">
        <w:rPr>
          <w:rFonts w:asciiTheme="majorHAnsi" w:hAnsiTheme="majorHAnsi" w:cstheme="majorHAnsi"/>
          <w:iCs/>
          <w:sz w:val="28"/>
          <w:szCs w:val="28"/>
          <w:lang w:val="vi-VN"/>
        </w:rPr>
        <w:t>,</w:t>
      </w:r>
      <w:r w:rsidRPr="006F315D">
        <w:rPr>
          <w:rFonts w:asciiTheme="majorHAnsi" w:hAnsiTheme="majorHAnsi" w:cstheme="majorHAnsi"/>
          <w:iCs/>
          <w:sz w:val="28"/>
          <w:szCs w:val="28"/>
          <w:lang w:val="nl-NL"/>
        </w:rPr>
        <w:t xml:space="preserve"> Bộ </w:t>
      </w:r>
      <w:r w:rsidR="000B267C" w:rsidRPr="006F315D">
        <w:rPr>
          <w:rFonts w:asciiTheme="majorHAnsi" w:hAnsiTheme="majorHAnsi" w:cstheme="majorHAnsi"/>
          <w:iCs/>
          <w:sz w:val="28"/>
          <w:szCs w:val="28"/>
          <w:lang w:val="nl-NL"/>
        </w:rPr>
        <w:t>Nông nghiệp và Phát triển nông thôn</w:t>
      </w:r>
      <w:r w:rsidRPr="006F315D">
        <w:rPr>
          <w:rFonts w:asciiTheme="majorHAnsi" w:hAnsiTheme="majorHAnsi" w:cstheme="majorHAnsi"/>
          <w:iCs/>
          <w:sz w:val="28"/>
          <w:szCs w:val="28"/>
          <w:lang w:val="nl-NL"/>
        </w:rPr>
        <w:t xml:space="preserve"> công bố</w:t>
      </w:r>
      <w:r w:rsidRPr="006F315D">
        <w:rPr>
          <w:rFonts w:asciiTheme="majorHAnsi" w:hAnsiTheme="majorHAnsi" w:cstheme="majorHAnsi"/>
          <w:iCs/>
          <w:sz w:val="28"/>
          <w:szCs w:val="28"/>
          <w:lang w:val="vi-VN"/>
        </w:rPr>
        <w:t xml:space="preserve"> </w:t>
      </w:r>
      <w:r w:rsidRPr="006F315D">
        <w:rPr>
          <w:rFonts w:asciiTheme="majorHAnsi" w:hAnsiTheme="majorHAnsi" w:cstheme="majorHAnsi"/>
          <w:iCs/>
          <w:sz w:val="28"/>
          <w:szCs w:val="28"/>
          <w:lang w:val="nl-NL"/>
        </w:rPr>
        <w:t>d</w:t>
      </w:r>
      <w:r w:rsidRPr="006F315D">
        <w:rPr>
          <w:rFonts w:asciiTheme="majorHAnsi" w:hAnsiTheme="majorHAnsi" w:cstheme="majorHAnsi"/>
          <w:iCs/>
          <w:sz w:val="28"/>
          <w:szCs w:val="28"/>
          <w:lang w:val="vi-VN"/>
        </w:rPr>
        <w:t xml:space="preserve">anh mục </w:t>
      </w:r>
      <w:r w:rsidRPr="006F315D">
        <w:rPr>
          <w:rFonts w:asciiTheme="majorHAnsi" w:hAnsiTheme="majorHAnsi" w:cstheme="majorHAnsi"/>
          <w:iCs/>
          <w:sz w:val="28"/>
          <w:szCs w:val="28"/>
          <w:lang w:val="nl-NL"/>
        </w:rPr>
        <w:t xml:space="preserve">cụ thể </w:t>
      </w:r>
      <w:r w:rsidRPr="006F315D">
        <w:rPr>
          <w:rFonts w:asciiTheme="majorHAnsi" w:hAnsiTheme="majorHAnsi" w:cstheme="majorHAnsi"/>
          <w:iCs/>
          <w:sz w:val="28"/>
          <w:szCs w:val="28"/>
          <w:lang w:val="vi-VN"/>
        </w:rPr>
        <w:t xml:space="preserve">thuốc bảo vệ thực vật được phép sử dụng, </w:t>
      </w:r>
      <w:r w:rsidRPr="006F315D">
        <w:rPr>
          <w:rFonts w:asciiTheme="majorHAnsi" w:hAnsiTheme="majorHAnsi" w:cstheme="majorHAnsi"/>
          <w:iCs/>
          <w:sz w:val="28"/>
          <w:szCs w:val="28"/>
          <w:lang w:val="nl-NL"/>
        </w:rPr>
        <w:t xml:space="preserve">thuốc bảo vệ thực vật </w:t>
      </w:r>
      <w:r w:rsidRPr="006F315D">
        <w:rPr>
          <w:rFonts w:asciiTheme="majorHAnsi" w:hAnsiTheme="majorHAnsi" w:cstheme="majorHAnsi"/>
          <w:iCs/>
          <w:sz w:val="28"/>
          <w:szCs w:val="28"/>
          <w:lang w:val="vi-VN"/>
        </w:rPr>
        <w:t>hạn chế sử dụng,</w:t>
      </w:r>
      <w:r w:rsidRPr="006F315D">
        <w:rPr>
          <w:rFonts w:asciiTheme="majorHAnsi" w:hAnsiTheme="majorHAnsi" w:cstheme="majorHAnsi"/>
          <w:iCs/>
          <w:sz w:val="28"/>
          <w:szCs w:val="28"/>
          <w:lang w:val="nl-NL"/>
        </w:rPr>
        <w:t xml:space="preserve"> thuốc bảo vệ thực vật</w:t>
      </w:r>
      <w:r w:rsidRPr="006F315D">
        <w:rPr>
          <w:rFonts w:asciiTheme="majorHAnsi" w:hAnsiTheme="majorHAnsi" w:cstheme="majorHAnsi"/>
          <w:iCs/>
          <w:sz w:val="28"/>
          <w:szCs w:val="28"/>
          <w:lang w:val="vi-VN"/>
        </w:rPr>
        <w:t xml:space="preserve"> cấm sử dụng ở Việt Nam</w:t>
      </w:r>
      <w:r w:rsidRPr="006F315D">
        <w:rPr>
          <w:rFonts w:asciiTheme="majorHAnsi" w:hAnsiTheme="majorHAnsi" w:cstheme="majorHAnsi"/>
          <w:iCs/>
          <w:sz w:val="28"/>
          <w:szCs w:val="28"/>
          <w:lang w:val="nl-NL"/>
        </w:rPr>
        <w:t xml:space="preserve">. Theo đó, Bộ </w:t>
      </w:r>
      <w:r w:rsidR="000B267C" w:rsidRPr="006F315D">
        <w:rPr>
          <w:rFonts w:asciiTheme="majorHAnsi" w:hAnsiTheme="majorHAnsi" w:cstheme="majorHAnsi"/>
          <w:iCs/>
          <w:sz w:val="28"/>
          <w:szCs w:val="28"/>
          <w:lang w:val="nl-NL"/>
        </w:rPr>
        <w:t xml:space="preserve">Nông nghiệp và Phát triển nông thôn </w:t>
      </w:r>
      <w:r w:rsidRPr="006F315D">
        <w:rPr>
          <w:rFonts w:asciiTheme="majorHAnsi" w:hAnsiTheme="majorHAnsi" w:cstheme="majorHAnsi"/>
          <w:iCs/>
          <w:sz w:val="28"/>
          <w:szCs w:val="28"/>
          <w:lang w:val="nl-NL"/>
        </w:rPr>
        <w:t>công bố d</w:t>
      </w:r>
      <w:r w:rsidRPr="006F315D">
        <w:rPr>
          <w:rFonts w:asciiTheme="majorHAnsi" w:hAnsiTheme="majorHAnsi" w:cstheme="majorHAnsi"/>
          <w:iCs/>
          <w:sz w:val="28"/>
          <w:szCs w:val="28"/>
          <w:lang w:val="vi-VN"/>
        </w:rPr>
        <w:t>anh mục thuốc bảo vệ thực vật thuộc nhóm hạn chế sử dụng</w:t>
      </w:r>
      <w:r w:rsidRPr="006F315D">
        <w:rPr>
          <w:rFonts w:asciiTheme="majorHAnsi" w:hAnsiTheme="majorHAnsi" w:cstheme="majorHAnsi"/>
          <w:iCs/>
          <w:sz w:val="28"/>
          <w:szCs w:val="28"/>
          <w:lang w:val="nl-NL"/>
        </w:rPr>
        <w:t xml:space="preserve"> gồm: </w:t>
      </w:r>
      <w:r w:rsidRPr="006F315D">
        <w:rPr>
          <w:rFonts w:asciiTheme="majorHAnsi" w:hAnsiTheme="majorHAnsi" w:cstheme="majorHAnsi"/>
          <w:iCs/>
          <w:sz w:val="28"/>
          <w:szCs w:val="28"/>
          <w:lang w:val="sv-SE"/>
        </w:rPr>
        <w:t>Thuốc sử dụng trong nông nghiệp (thuốc trừ sâu, thuốc trừ chuột); Thuốc trừ mối; Thuốc bảo quản lâm sản; Thuốc khử trùng kho.</w:t>
      </w:r>
    </w:p>
    <w:p w:rsidR="00523F77" w:rsidRPr="006F315D" w:rsidRDefault="00523F77" w:rsidP="00DF3E56">
      <w:pPr>
        <w:spacing w:before="60" w:after="60" w:line="264" w:lineRule="auto"/>
        <w:ind w:firstLine="720"/>
        <w:jc w:val="both"/>
        <w:rPr>
          <w:rFonts w:asciiTheme="majorHAnsi" w:hAnsiTheme="majorHAnsi" w:cstheme="majorHAnsi"/>
          <w:lang w:val="nl-NL"/>
        </w:rPr>
      </w:pPr>
      <w:r w:rsidRPr="006F315D">
        <w:rPr>
          <w:rFonts w:asciiTheme="majorHAnsi" w:hAnsiTheme="majorHAnsi" w:cstheme="majorHAnsi"/>
          <w:sz w:val="28"/>
          <w:szCs w:val="28"/>
          <w:lang w:val="nl-NL"/>
        </w:rPr>
        <w:t xml:space="preserve">Theo Luật Bảo vệ và kiểm dịch thực vật năm 2013 (thay thế </w:t>
      </w:r>
      <w:r w:rsidRPr="006F315D">
        <w:rPr>
          <w:rFonts w:asciiTheme="majorHAnsi" w:hAnsiTheme="majorHAnsi" w:cstheme="majorHAnsi"/>
          <w:iCs/>
          <w:sz w:val="28"/>
          <w:szCs w:val="28"/>
          <w:lang w:val="vi-VN"/>
        </w:rPr>
        <w:t>Pháp lệnh Bảo vệ và Kiểm dịch thực vật</w:t>
      </w:r>
      <w:r w:rsidRPr="006F315D">
        <w:rPr>
          <w:rFonts w:asciiTheme="majorHAnsi" w:hAnsiTheme="majorHAnsi" w:cstheme="majorHAnsi"/>
          <w:iCs/>
          <w:sz w:val="28"/>
          <w:szCs w:val="28"/>
          <w:lang w:val="nl-NL"/>
        </w:rPr>
        <w:t xml:space="preserve"> năm 2001) thì </w:t>
      </w:r>
      <w:r w:rsidR="00C13862" w:rsidRPr="006F315D">
        <w:rPr>
          <w:rFonts w:asciiTheme="majorHAnsi" w:hAnsiTheme="majorHAnsi" w:cstheme="majorHAnsi"/>
          <w:iCs/>
          <w:sz w:val="28"/>
          <w:szCs w:val="28"/>
          <w:lang w:val="nl-NL"/>
        </w:rPr>
        <w:t>c</w:t>
      </w:r>
      <w:r w:rsidRPr="006F315D">
        <w:rPr>
          <w:rFonts w:asciiTheme="majorHAnsi" w:hAnsiTheme="majorHAnsi" w:cstheme="majorHAnsi"/>
          <w:sz w:val="28"/>
          <w:szCs w:val="28"/>
          <w:lang w:val="nl-NL"/>
        </w:rPr>
        <w:t xml:space="preserve">ác loại thuốc bảo vệ thực vật thuộc loại hạn chế sử dụng quy định tại Luật thuế BVMT được </w:t>
      </w:r>
      <w:r w:rsidRPr="006F315D">
        <w:rPr>
          <w:color w:val="000000"/>
          <w:sz w:val="28"/>
          <w:szCs w:val="28"/>
          <w:shd w:val="clear" w:color="auto" w:fill="FFFFFF"/>
          <w:lang w:val="nl-NL"/>
        </w:rPr>
        <w:t>đưa vào Danh mục thuốc bảo vệ thực vật được phép sử dụng tại Việt Nam - phải xin Giấy phép nhập khẩu trước khi nhập khẩu (</w:t>
      </w:r>
      <w:r w:rsidRPr="006F315D">
        <w:rPr>
          <w:sz w:val="28"/>
          <w:szCs w:val="28"/>
          <w:shd w:val="clear" w:color="auto" w:fill="FFFFFF"/>
          <w:lang w:val="nl-NL"/>
        </w:rPr>
        <w:t>đây là các loại thuốc có độ độc cao</w:t>
      </w:r>
      <w:r w:rsidRPr="006F315D">
        <w:rPr>
          <w:color w:val="000000"/>
          <w:sz w:val="28"/>
          <w:szCs w:val="28"/>
          <w:shd w:val="clear" w:color="auto" w:fill="FFFFFF"/>
          <w:lang w:val="nl-NL"/>
        </w:rPr>
        <w:t>)</w:t>
      </w:r>
      <w:r w:rsidR="000F7AEE" w:rsidRPr="006F315D">
        <w:rPr>
          <w:color w:val="000000"/>
          <w:sz w:val="28"/>
          <w:szCs w:val="28"/>
          <w:shd w:val="clear" w:color="auto" w:fill="FFFFFF"/>
          <w:lang w:val="nl-NL"/>
        </w:rPr>
        <w:t>; một số tên thương phẩm hoặc tên hoạt chất của các loại thuốc bảo vệ thực vật này đã được sửa đổi</w:t>
      </w:r>
      <w:r w:rsidR="003A219D" w:rsidRPr="006F315D">
        <w:rPr>
          <w:color w:val="000000"/>
          <w:sz w:val="28"/>
          <w:szCs w:val="28"/>
          <w:shd w:val="clear" w:color="auto" w:fill="FFFFFF"/>
          <w:lang w:val="nl-NL"/>
        </w:rPr>
        <w:t xml:space="preserve"> hoặc bị loại khỏi Danh mục thuốc bảo vệ thực vật được phép sử dụng</w:t>
      </w:r>
      <w:r w:rsidR="004E5EAF" w:rsidRPr="006F315D">
        <w:rPr>
          <w:color w:val="000000"/>
          <w:sz w:val="28"/>
          <w:szCs w:val="28"/>
          <w:shd w:val="clear" w:color="auto" w:fill="FFFFFF"/>
          <w:lang w:val="nl-NL"/>
        </w:rPr>
        <w:t xml:space="preserve">, ví dụ: Thuốc trừ mối: Tên hoạt chất là </w:t>
      </w:r>
      <w:r w:rsidR="004E5EAF" w:rsidRPr="006F315D">
        <w:rPr>
          <w:rFonts w:asciiTheme="majorHAnsi" w:hAnsiTheme="majorHAnsi" w:cstheme="majorHAnsi"/>
          <w:sz w:val="28"/>
          <w:szCs w:val="28"/>
          <w:lang w:val="nl-NL"/>
        </w:rPr>
        <w:t>Na</w:t>
      </w:r>
      <w:r w:rsidR="004E5EAF" w:rsidRPr="006F315D">
        <w:rPr>
          <w:rFonts w:asciiTheme="majorHAnsi" w:hAnsiTheme="majorHAnsi" w:cstheme="majorHAnsi"/>
          <w:sz w:val="28"/>
          <w:szCs w:val="28"/>
          <w:vertAlign w:val="subscript"/>
          <w:lang w:val="nl-NL"/>
        </w:rPr>
        <w:t>2</w:t>
      </w:r>
      <w:r w:rsidR="004E5EAF" w:rsidRPr="006F315D">
        <w:rPr>
          <w:rFonts w:asciiTheme="majorHAnsi" w:hAnsiTheme="majorHAnsi" w:cstheme="majorHAnsi"/>
          <w:sz w:val="28"/>
          <w:szCs w:val="28"/>
          <w:lang w:val="nl-NL"/>
        </w:rPr>
        <w:t>SiF</w:t>
      </w:r>
      <w:r w:rsidR="004E5EAF" w:rsidRPr="006F315D">
        <w:rPr>
          <w:rFonts w:asciiTheme="majorHAnsi" w:hAnsiTheme="majorHAnsi" w:cstheme="majorHAnsi"/>
          <w:sz w:val="28"/>
          <w:szCs w:val="28"/>
          <w:vertAlign w:val="subscript"/>
          <w:lang w:val="nl-NL"/>
        </w:rPr>
        <w:t>6</w:t>
      </w:r>
      <w:r w:rsidR="004E5EAF" w:rsidRPr="006F315D">
        <w:rPr>
          <w:rFonts w:asciiTheme="majorHAnsi" w:hAnsiTheme="majorHAnsi" w:cstheme="majorHAnsi"/>
          <w:sz w:val="28"/>
          <w:szCs w:val="28"/>
          <w:lang w:val="nl-NL"/>
        </w:rPr>
        <w:t xml:space="preserve"> 50% + HBO</w:t>
      </w:r>
      <w:r w:rsidR="004E5EAF" w:rsidRPr="006F315D">
        <w:rPr>
          <w:rFonts w:asciiTheme="majorHAnsi" w:hAnsiTheme="majorHAnsi" w:cstheme="majorHAnsi"/>
          <w:sz w:val="28"/>
          <w:szCs w:val="28"/>
          <w:vertAlign w:val="subscript"/>
          <w:lang w:val="nl-NL"/>
        </w:rPr>
        <w:t xml:space="preserve">3 </w:t>
      </w:r>
      <w:r w:rsidR="004E5EAF" w:rsidRPr="006F315D">
        <w:rPr>
          <w:rFonts w:asciiTheme="majorHAnsi" w:hAnsiTheme="majorHAnsi" w:cstheme="majorHAnsi"/>
          <w:sz w:val="28"/>
          <w:szCs w:val="28"/>
          <w:lang w:val="nl-NL"/>
        </w:rPr>
        <w:t>10% + CuSO</w:t>
      </w:r>
      <w:r w:rsidR="004E5EAF" w:rsidRPr="006F315D">
        <w:rPr>
          <w:rFonts w:asciiTheme="majorHAnsi" w:hAnsiTheme="majorHAnsi" w:cstheme="majorHAnsi"/>
          <w:sz w:val="28"/>
          <w:szCs w:val="28"/>
          <w:vertAlign w:val="subscript"/>
          <w:lang w:val="nl-NL"/>
        </w:rPr>
        <w:t>4</w:t>
      </w:r>
      <w:r w:rsidR="004E5EAF" w:rsidRPr="006F315D">
        <w:rPr>
          <w:rFonts w:asciiTheme="majorHAnsi" w:hAnsiTheme="majorHAnsi" w:cstheme="majorHAnsi"/>
          <w:sz w:val="28"/>
          <w:szCs w:val="28"/>
          <w:lang w:val="nl-NL"/>
        </w:rPr>
        <w:t xml:space="preserve"> 30% và Na</w:t>
      </w:r>
      <w:r w:rsidR="004E5EAF" w:rsidRPr="006F315D">
        <w:rPr>
          <w:rFonts w:asciiTheme="majorHAnsi" w:hAnsiTheme="majorHAnsi" w:cstheme="majorHAnsi"/>
          <w:sz w:val="28"/>
          <w:szCs w:val="28"/>
          <w:vertAlign w:val="subscript"/>
          <w:lang w:val="nl-NL"/>
        </w:rPr>
        <w:t>2</w:t>
      </w:r>
      <w:r w:rsidR="004E5EAF" w:rsidRPr="006F315D">
        <w:rPr>
          <w:rFonts w:asciiTheme="majorHAnsi" w:hAnsiTheme="majorHAnsi" w:cstheme="majorHAnsi"/>
          <w:sz w:val="28"/>
          <w:szCs w:val="28"/>
          <w:lang w:val="nl-NL"/>
        </w:rPr>
        <w:t>SiF</w:t>
      </w:r>
      <w:r w:rsidR="004E5EAF" w:rsidRPr="006F315D">
        <w:rPr>
          <w:rFonts w:asciiTheme="majorHAnsi" w:hAnsiTheme="majorHAnsi" w:cstheme="majorHAnsi"/>
          <w:sz w:val="28"/>
          <w:szCs w:val="28"/>
          <w:vertAlign w:val="subscript"/>
          <w:lang w:val="nl-NL"/>
        </w:rPr>
        <w:t>6</w:t>
      </w:r>
      <w:r w:rsidR="004E5EAF" w:rsidRPr="006F315D">
        <w:rPr>
          <w:rFonts w:asciiTheme="majorHAnsi" w:hAnsiTheme="majorHAnsi" w:cstheme="majorHAnsi"/>
          <w:sz w:val="28"/>
          <w:szCs w:val="28"/>
          <w:lang w:val="nl-NL"/>
        </w:rPr>
        <w:t xml:space="preserve">  80 % +  ZnCl</w:t>
      </w:r>
      <w:r w:rsidR="004E5EAF" w:rsidRPr="006F315D">
        <w:rPr>
          <w:rFonts w:asciiTheme="majorHAnsi" w:hAnsiTheme="majorHAnsi" w:cstheme="majorHAnsi"/>
          <w:sz w:val="28"/>
          <w:szCs w:val="28"/>
          <w:vertAlign w:val="subscript"/>
          <w:lang w:val="nl-NL"/>
        </w:rPr>
        <w:t>2</w:t>
      </w:r>
      <w:r w:rsidR="004E5EAF" w:rsidRPr="006F315D">
        <w:rPr>
          <w:rFonts w:asciiTheme="majorHAnsi" w:hAnsiTheme="majorHAnsi" w:cstheme="majorHAnsi"/>
          <w:sz w:val="28"/>
          <w:szCs w:val="28"/>
          <w:lang w:val="nl-NL"/>
        </w:rPr>
        <w:t xml:space="preserve"> 20%; Tên thương phẩm tương ứng là PMC 90DP và PMs  100CP; </w:t>
      </w:r>
      <w:r w:rsidR="004E5EAF" w:rsidRPr="006F315D">
        <w:rPr>
          <w:color w:val="000000"/>
          <w:sz w:val="28"/>
          <w:szCs w:val="28"/>
          <w:shd w:val="clear" w:color="auto" w:fill="FFFFFF"/>
          <w:lang w:val="nl-NL"/>
        </w:rPr>
        <w:t xml:space="preserve">Thuốc bảo quản lâm sản: Tên hoạt chất là </w:t>
      </w:r>
      <w:r w:rsidR="004E5EAF" w:rsidRPr="006F315D">
        <w:rPr>
          <w:rFonts w:asciiTheme="majorHAnsi" w:hAnsiTheme="majorHAnsi" w:cstheme="majorHAnsi"/>
          <w:sz w:val="28"/>
          <w:szCs w:val="28"/>
          <w:lang w:val="nl-NL"/>
        </w:rPr>
        <w:t>CuSO</w:t>
      </w:r>
      <w:r w:rsidR="004E5EAF" w:rsidRPr="006F315D">
        <w:rPr>
          <w:rFonts w:asciiTheme="majorHAnsi" w:hAnsiTheme="majorHAnsi" w:cstheme="majorHAnsi"/>
          <w:sz w:val="28"/>
          <w:szCs w:val="28"/>
          <w:vertAlign w:val="subscript"/>
          <w:lang w:val="nl-NL"/>
        </w:rPr>
        <w:t>4</w:t>
      </w:r>
      <w:r w:rsidR="004E5EAF" w:rsidRPr="006F315D">
        <w:rPr>
          <w:rFonts w:asciiTheme="majorHAnsi" w:hAnsiTheme="majorHAnsi" w:cstheme="majorHAnsi"/>
          <w:sz w:val="28"/>
          <w:szCs w:val="28"/>
          <w:lang w:val="nl-NL"/>
        </w:rPr>
        <w:t xml:space="preserve">  50 % +  K</w:t>
      </w:r>
      <w:r w:rsidR="004E5EAF" w:rsidRPr="006F315D">
        <w:rPr>
          <w:rFonts w:asciiTheme="majorHAnsi" w:hAnsiTheme="majorHAnsi" w:cstheme="majorHAnsi"/>
          <w:sz w:val="28"/>
          <w:szCs w:val="28"/>
          <w:vertAlign w:val="subscript"/>
          <w:lang w:val="nl-NL"/>
        </w:rPr>
        <w:t>2</w:t>
      </w:r>
      <w:r w:rsidR="004E5EAF" w:rsidRPr="006F315D">
        <w:rPr>
          <w:rFonts w:asciiTheme="majorHAnsi" w:hAnsiTheme="majorHAnsi" w:cstheme="majorHAnsi"/>
          <w:sz w:val="28"/>
          <w:szCs w:val="28"/>
          <w:lang w:val="nl-NL"/>
        </w:rPr>
        <w:t>Cr</w:t>
      </w:r>
      <w:r w:rsidR="004E5EAF" w:rsidRPr="006F315D">
        <w:rPr>
          <w:rFonts w:asciiTheme="majorHAnsi" w:hAnsiTheme="majorHAnsi" w:cstheme="majorHAnsi"/>
          <w:sz w:val="28"/>
          <w:szCs w:val="28"/>
          <w:vertAlign w:val="subscript"/>
          <w:lang w:val="nl-NL"/>
        </w:rPr>
        <w:t>2</w:t>
      </w:r>
      <w:r w:rsidR="004E5EAF" w:rsidRPr="006F315D">
        <w:rPr>
          <w:rFonts w:asciiTheme="majorHAnsi" w:hAnsiTheme="majorHAnsi" w:cstheme="majorHAnsi"/>
          <w:sz w:val="28"/>
          <w:szCs w:val="28"/>
          <w:lang w:val="nl-NL"/>
        </w:rPr>
        <w:t>O</w:t>
      </w:r>
      <w:r w:rsidR="004E5EAF" w:rsidRPr="006F315D">
        <w:rPr>
          <w:rFonts w:asciiTheme="majorHAnsi" w:hAnsiTheme="majorHAnsi" w:cstheme="majorHAnsi"/>
          <w:sz w:val="28"/>
          <w:szCs w:val="28"/>
          <w:vertAlign w:val="subscript"/>
          <w:lang w:val="nl-NL"/>
        </w:rPr>
        <w:t>7</w:t>
      </w:r>
      <w:r w:rsidR="004E5EAF" w:rsidRPr="006F315D">
        <w:rPr>
          <w:rFonts w:asciiTheme="majorHAnsi" w:hAnsiTheme="majorHAnsi" w:cstheme="majorHAnsi"/>
          <w:sz w:val="28"/>
          <w:szCs w:val="28"/>
          <w:lang w:val="nl-NL"/>
        </w:rPr>
        <w:t xml:space="preserve">  50% và </w:t>
      </w:r>
      <w:r w:rsidR="004E5EAF" w:rsidRPr="006F315D">
        <w:rPr>
          <w:rFonts w:asciiTheme="majorHAnsi" w:hAnsiTheme="majorHAnsi" w:cstheme="majorHAnsi"/>
          <w:sz w:val="28"/>
          <w:szCs w:val="28"/>
          <w:lang w:val="pt-BR"/>
        </w:rPr>
        <w:t>ZnSO</w:t>
      </w:r>
      <w:r w:rsidR="004E5EAF" w:rsidRPr="006F315D">
        <w:rPr>
          <w:rFonts w:asciiTheme="majorHAnsi" w:hAnsiTheme="majorHAnsi" w:cstheme="majorHAnsi"/>
          <w:sz w:val="28"/>
          <w:szCs w:val="28"/>
          <w:vertAlign w:val="subscript"/>
          <w:lang w:val="pt-BR"/>
        </w:rPr>
        <w:t>4</w:t>
      </w:r>
      <w:r w:rsidR="004E5EAF" w:rsidRPr="006F315D">
        <w:rPr>
          <w:rFonts w:asciiTheme="majorHAnsi" w:hAnsiTheme="majorHAnsi" w:cstheme="majorHAnsi"/>
          <w:sz w:val="28"/>
          <w:szCs w:val="28"/>
          <w:lang w:val="pt-BR"/>
        </w:rPr>
        <w:t xml:space="preserve"> .7H</w:t>
      </w:r>
      <w:r w:rsidR="004E5EAF" w:rsidRPr="006F315D">
        <w:rPr>
          <w:rFonts w:asciiTheme="majorHAnsi" w:hAnsiTheme="majorHAnsi" w:cstheme="majorHAnsi"/>
          <w:sz w:val="28"/>
          <w:szCs w:val="28"/>
          <w:vertAlign w:val="subscript"/>
          <w:lang w:val="pt-BR"/>
        </w:rPr>
        <w:t>2</w:t>
      </w:r>
      <w:r w:rsidR="004E5EAF" w:rsidRPr="006F315D">
        <w:rPr>
          <w:rFonts w:asciiTheme="majorHAnsi" w:hAnsiTheme="majorHAnsi" w:cstheme="majorHAnsi"/>
          <w:sz w:val="28"/>
          <w:szCs w:val="28"/>
          <w:lang w:val="pt-BR"/>
        </w:rPr>
        <w:t xml:space="preserve">O 60% + NaF 30% + phụ gia10%; </w:t>
      </w:r>
      <w:r w:rsidR="004E5EAF" w:rsidRPr="006F315D">
        <w:rPr>
          <w:rFonts w:asciiTheme="majorHAnsi" w:hAnsiTheme="majorHAnsi" w:cstheme="majorHAnsi"/>
          <w:sz w:val="28"/>
          <w:szCs w:val="28"/>
          <w:lang w:val="nl-NL"/>
        </w:rPr>
        <w:t>Tên thương phẩm tương ứng là XM</w:t>
      </w:r>
      <w:r w:rsidR="004E5EAF" w:rsidRPr="006F315D">
        <w:rPr>
          <w:rFonts w:asciiTheme="majorHAnsi" w:hAnsiTheme="majorHAnsi" w:cstheme="majorHAnsi"/>
          <w:sz w:val="28"/>
          <w:szCs w:val="28"/>
          <w:vertAlign w:val="subscript"/>
          <w:lang w:val="nl-NL"/>
        </w:rPr>
        <w:t>5</w:t>
      </w:r>
      <w:r w:rsidR="004E5EAF" w:rsidRPr="006F315D">
        <w:rPr>
          <w:rFonts w:asciiTheme="majorHAnsi" w:hAnsiTheme="majorHAnsi" w:cstheme="majorHAnsi"/>
          <w:sz w:val="28"/>
          <w:szCs w:val="28"/>
          <w:lang w:val="nl-NL"/>
        </w:rPr>
        <w:t xml:space="preserve"> 100 bột và LN</w:t>
      </w:r>
      <w:r w:rsidR="004E5EAF" w:rsidRPr="006F315D">
        <w:rPr>
          <w:rFonts w:asciiTheme="majorHAnsi" w:hAnsiTheme="majorHAnsi" w:cstheme="majorHAnsi"/>
          <w:sz w:val="28"/>
          <w:szCs w:val="28"/>
          <w:vertAlign w:val="subscript"/>
          <w:lang w:val="nl-NL"/>
        </w:rPr>
        <w:t xml:space="preserve"> 5</w:t>
      </w:r>
      <w:r w:rsidR="004E5EAF" w:rsidRPr="006F315D">
        <w:rPr>
          <w:rFonts w:asciiTheme="majorHAnsi" w:hAnsiTheme="majorHAnsi" w:cstheme="majorHAnsi"/>
          <w:sz w:val="28"/>
          <w:szCs w:val="28"/>
          <w:lang w:val="nl-NL"/>
        </w:rPr>
        <w:t xml:space="preserve"> 90 bột; Bỏ tên hoạt chất và tên thương phẩm tương ứng của </w:t>
      </w:r>
      <w:r w:rsidR="004E5EAF" w:rsidRPr="006F315D">
        <w:rPr>
          <w:rFonts w:asciiTheme="majorHAnsi" w:hAnsiTheme="majorHAnsi" w:cstheme="majorHAnsi"/>
          <w:sz w:val="28"/>
          <w:szCs w:val="28"/>
          <w:shd w:val="clear" w:color="auto" w:fill="FFFFFF"/>
          <w:lang w:val="nl-NL"/>
        </w:rPr>
        <w:t>Methylene bis Thiocyanate 5% +  Quaternary ammonium  compounds 25%, Methylene bis thiocyanate 10% + 2- (thiocyanomethylthio) benzothiazole 10%, Sodium Tetraborate decahydrate 54 % + Boric acid  36 %.</w:t>
      </w:r>
    </w:p>
    <w:p w:rsidR="003A7E2D" w:rsidRPr="006F315D" w:rsidRDefault="00523F77" w:rsidP="00DF3E56">
      <w:pPr>
        <w:widowControl w:val="0"/>
        <w:spacing w:before="60" w:after="60" w:line="264" w:lineRule="auto"/>
        <w:ind w:firstLine="720"/>
        <w:jc w:val="both"/>
        <w:rPr>
          <w:rFonts w:asciiTheme="majorHAnsi" w:hAnsiTheme="majorHAnsi" w:cstheme="majorHAnsi"/>
          <w:sz w:val="28"/>
          <w:szCs w:val="28"/>
          <w:lang w:val="nl-NL"/>
        </w:rPr>
      </w:pPr>
      <w:r w:rsidRPr="006F315D">
        <w:rPr>
          <w:rFonts w:asciiTheme="majorHAnsi" w:hAnsiTheme="majorHAnsi" w:cstheme="majorHAnsi"/>
          <w:sz w:val="28"/>
          <w:szCs w:val="28"/>
          <w:lang w:val="nl-NL"/>
        </w:rPr>
        <w:t>Do đó, để đảm bảo thực hiện Luật Bảo vệ và kiểm dịch thực vật năm 2013</w:t>
      </w:r>
      <w:r w:rsidR="000B267C" w:rsidRPr="006F315D">
        <w:rPr>
          <w:rFonts w:asciiTheme="majorHAnsi" w:hAnsiTheme="majorHAnsi" w:cstheme="majorHAnsi"/>
          <w:sz w:val="28"/>
          <w:szCs w:val="28"/>
          <w:lang w:val="nl-NL"/>
        </w:rPr>
        <w:t xml:space="preserve"> </w:t>
      </w:r>
      <w:r w:rsidRPr="006F315D">
        <w:rPr>
          <w:rFonts w:asciiTheme="majorHAnsi" w:hAnsiTheme="majorHAnsi" w:cstheme="majorHAnsi"/>
          <w:sz w:val="28"/>
          <w:szCs w:val="28"/>
          <w:lang w:val="nl-NL"/>
        </w:rPr>
        <w:t>thì cần thiết sửa</w:t>
      </w:r>
      <w:r w:rsidR="000B267C" w:rsidRPr="006F315D">
        <w:rPr>
          <w:rFonts w:asciiTheme="majorHAnsi" w:hAnsiTheme="majorHAnsi" w:cstheme="majorHAnsi"/>
          <w:sz w:val="28"/>
          <w:szCs w:val="28"/>
          <w:lang w:val="nl-NL"/>
        </w:rPr>
        <w:t xml:space="preserve"> đổi </w:t>
      </w:r>
      <w:r w:rsidR="00137EB9" w:rsidRPr="006F315D">
        <w:rPr>
          <w:rFonts w:asciiTheme="majorHAnsi" w:hAnsiTheme="majorHAnsi" w:cstheme="majorHAnsi"/>
          <w:sz w:val="28"/>
          <w:szCs w:val="28"/>
          <w:lang w:val="nl-NL"/>
        </w:rPr>
        <w:t xml:space="preserve">tên hoạt chất, tên thương phẩm của nhóm </w:t>
      </w:r>
      <w:r w:rsidRPr="006F315D">
        <w:rPr>
          <w:rFonts w:asciiTheme="majorHAnsi" w:hAnsiTheme="majorHAnsi" w:cstheme="majorHAnsi"/>
          <w:sz w:val="28"/>
          <w:szCs w:val="28"/>
          <w:lang w:val="nl-NL"/>
        </w:rPr>
        <w:t>thuốc bảo vệ thực vật thuộc loại hạn chế sử dụng</w:t>
      </w:r>
      <w:r w:rsidR="000B267C" w:rsidRPr="006F315D">
        <w:rPr>
          <w:rFonts w:asciiTheme="majorHAnsi" w:hAnsiTheme="majorHAnsi" w:cstheme="majorHAnsi"/>
          <w:sz w:val="28"/>
          <w:szCs w:val="28"/>
          <w:lang w:val="nl-NL"/>
        </w:rPr>
        <w:t xml:space="preserve"> </w:t>
      </w:r>
      <w:r w:rsidR="00F900B9" w:rsidRPr="006F315D">
        <w:rPr>
          <w:rFonts w:asciiTheme="majorHAnsi" w:hAnsiTheme="majorHAnsi" w:cstheme="majorHAnsi"/>
          <w:sz w:val="28"/>
          <w:szCs w:val="28"/>
          <w:lang w:val="nl-NL"/>
        </w:rPr>
        <w:t xml:space="preserve">tại Phụ lục kèm theo Nghị quyết về </w:t>
      </w:r>
      <w:r w:rsidR="00B307E1">
        <w:rPr>
          <w:rFonts w:asciiTheme="majorHAnsi" w:hAnsiTheme="majorHAnsi" w:cstheme="majorHAnsi"/>
          <w:sz w:val="28"/>
          <w:szCs w:val="28"/>
          <w:lang w:val="nl-NL"/>
        </w:rPr>
        <w:t>B</w:t>
      </w:r>
      <w:r w:rsidR="00F900B9" w:rsidRPr="006F315D">
        <w:rPr>
          <w:rFonts w:asciiTheme="majorHAnsi" w:hAnsiTheme="majorHAnsi" w:cstheme="majorHAnsi"/>
          <w:sz w:val="28"/>
          <w:szCs w:val="28"/>
          <w:lang w:val="nl-NL"/>
        </w:rPr>
        <w:t xml:space="preserve">iểu thuế BVMT hiện hành </w:t>
      </w:r>
      <w:r w:rsidR="000B267C" w:rsidRPr="006F315D">
        <w:rPr>
          <w:rFonts w:asciiTheme="majorHAnsi" w:hAnsiTheme="majorHAnsi" w:cstheme="majorHAnsi"/>
          <w:sz w:val="28"/>
          <w:szCs w:val="28"/>
          <w:lang w:val="nl-NL"/>
        </w:rPr>
        <w:t>cho phù hợp.</w:t>
      </w:r>
    </w:p>
    <w:p w:rsidR="00DF3E56" w:rsidRPr="00B307E1" w:rsidRDefault="00DF3E56" w:rsidP="00DF3E56">
      <w:pPr>
        <w:widowControl w:val="0"/>
        <w:spacing w:before="60" w:after="60" w:line="264" w:lineRule="auto"/>
        <w:ind w:firstLine="720"/>
        <w:jc w:val="both"/>
        <w:rPr>
          <w:rFonts w:asciiTheme="majorHAnsi" w:hAnsiTheme="majorHAnsi" w:cstheme="majorHAnsi"/>
          <w:sz w:val="38"/>
          <w:szCs w:val="28"/>
          <w:lang w:val="nl-NL"/>
        </w:rPr>
      </w:pPr>
    </w:p>
    <w:p w:rsidR="00BA6372" w:rsidRPr="006F315D" w:rsidRDefault="00BA6372" w:rsidP="00DF3E56">
      <w:pPr>
        <w:overflowPunct w:val="0"/>
        <w:autoSpaceDE w:val="0"/>
        <w:autoSpaceDN w:val="0"/>
        <w:adjustRightInd w:val="0"/>
        <w:spacing w:before="60" w:after="60" w:line="264" w:lineRule="auto"/>
        <w:jc w:val="center"/>
        <w:rPr>
          <w:b/>
          <w:sz w:val="28"/>
          <w:szCs w:val="28"/>
          <w:lang w:val="pl-PL"/>
        </w:rPr>
      </w:pPr>
      <w:r w:rsidRPr="006F315D">
        <w:rPr>
          <w:b/>
          <w:sz w:val="28"/>
          <w:szCs w:val="28"/>
          <w:lang w:val="pl-PL"/>
        </w:rPr>
        <w:t>Phần thứ ba</w:t>
      </w:r>
    </w:p>
    <w:p w:rsidR="00BA6372" w:rsidRPr="006F315D" w:rsidRDefault="0038492E" w:rsidP="00DF3E56">
      <w:pPr>
        <w:spacing w:before="60" w:after="60" w:line="264" w:lineRule="auto"/>
        <w:jc w:val="center"/>
        <w:rPr>
          <w:b/>
          <w:sz w:val="26"/>
          <w:szCs w:val="26"/>
          <w:lang w:val="pl-PL"/>
        </w:rPr>
      </w:pPr>
      <w:r w:rsidRPr="006F315D">
        <w:rPr>
          <w:b/>
          <w:sz w:val="26"/>
          <w:szCs w:val="26"/>
          <w:lang w:val="pl-PL"/>
        </w:rPr>
        <w:t xml:space="preserve">ĐỀ XUẤT HOÀN THIỆN MỨC </w:t>
      </w:r>
      <w:r w:rsidR="00BA6372" w:rsidRPr="006F315D">
        <w:rPr>
          <w:b/>
          <w:sz w:val="26"/>
          <w:szCs w:val="26"/>
          <w:lang w:val="pl-PL"/>
        </w:rPr>
        <w:t>THUẾ BẢO VỆ MÔI TRƯỜNG</w:t>
      </w:r>
    </w:p>
    <w:p w:rsidR="00BA6372" w:rsidRPr="006F315D" w:rsidRDefault="00BA6372" w:rsidP="00DF3E56">
      <w:pPr>
        <w:spacing w:before="60" w:after="60" w:line="264" w:lineRule="auto"/>
        <w:jc w:val="center"/>
        <w:rPr>
          <w:b/>
          <w:lang w:val="pl-PL"/>
        </w:rPr>
      </w:pPr>
    </w:p>
    <w:p w:rsidR="00E83ED3" w:rsidRPr="006F315D" w:rsidRDefault="00E83ED3" w:rsidP="00DF3E56">
      <w:pPr>
        <w:spacing w:before="60" w:after="60" w:line="264" w:lineRule="auto"/>
        <w:ind w:firstLine="720"/>
        <w:jc w:val="both"/>
        <w:rPr>
          <w:snapToGrid w:val="0"/>
          <w:sz w:val="28"/>
          <w:szCs w:val="28"/>
          <w:lang w:val="nl-NL"/>
        </w:rPr>
      </w:pPr>
      <w:r w:rsidRPr="006F315D">
        <w:rPr>
          <w:snapToGrid w:val="0"/>
          <w:sz w:val="28"/>
          <w:szCs w:val="28"/>
          <w:lang w:val="nl-NL"/>
        </w:rPr>
        <w:t xml:space="preserve">Từ những đánh giá nêu trên, đề nghị rà soát lại </w:t>
      </w:r>
      <w:r w:rsidRPr="006F315D">
        <w:rPr>
          <w:sz w:val="28"/>
          <w:szCs w:val="28"/>
          <w:lang w:val="sv-SE"/>
        </w:rPr>
        <w:t>mức thuế BVMT đối với các hàng hóa thuộc đối tượng chịu thuế</w:t>
      </w:r>
      <w:r w:rsidR="0003382B" w:rsidRPr="006F315D">
        <w:rPr>
          <w:sz w:val="28"/>
          <w:szCs w:val="28"/>
          <w:lang w:val="sv-SE"/>
        </w:rPr>
        <w:t xml:space="preserve"> BVMT</w:t>
      </w:r>
      <w:r w:rsidR="00D54599" w:rsidRPr="006F315D">
        <w:rPr>
          <w:sz w:val="28"/>
          <w:szCs w:val="28"/>
          <w:lang w:val="sv-SE"/>
        </w:rPr>
        <w:t xml:space="preserve"> và </w:t>
      </w:r>
      <w:r w:rsidR="00F900B9" w:rsidRPr="006F315D">
        <w:rPr>
          <w:sz w:val="28"/>
          <w:szCs w:val="28"/>
          <w:lang w:val="sv-SE"/>
        </w:rPr>
        <w:t>tên hoạt chất, tên thương phẩm của</w:t>
      </w:r>
      <w:r w:rsidR="00D54599" w:rsidRPr="006F315D">
        <w:rPr>
          <w:sz w:val="28"/>
          <w:szCs w:val="28"/>
          <w:lang w:val="sv-SE"/>
        </w:rPr>
        <w:t xml:space="preserve"> nhóm thuốc bảo vệ thực vật thuộc loại hạn chế sử dụng</w:t>
      </w:r>
      <w:r w:rsidRPr="006F315D">
        <w:rPr>
          <w:snapToGrid w:val="0"/>
          <w:sz w:val="28"/>
          <w:szCs w:val="28"/>
          <w:lang w:val="nl-NL"/>
        </w:rPr>
        <w:t>, từ đ</w:t>
      </w:r>
      <w:r w:rsidR="001A4D0A" w:rsidRPr="006F315D">
        <w:rPr>
          <w:snapToGrid w:val="0"/>
          <w:sz w:val="28"/>
          <w:szCs w:val="28"/>
          <w:lang w:val="nl-NL"/>
        </w:rPr>
        <w:t xml:space="preserve">ó có những kiến nghị điều chỉnh, sửa đổi </w:t>
      </w:r>
      <w:r w:rsidRPr="006F315D">
        <w:rPr>
          <w:snapToGrid w:val="0"/>
          <w:sz w:val="28"/>
          <w:szCs w:val="28"/>
          <w:lang w:val="nl-NL"/>
        </w:rPr>
        <w:t>cho phù hợp nhằm đảm bảo các mục tiêu, yêu cầu sau:</w:t>
      </w:r>
    </w:p>
    <w:p w:rsidR="003A7E2D" w:rsidRPr="006F315D" w:rsidRDefault="003A7E2D" w:rsidP="00DF3E56">
      <w:pPr>
        <w:spacing w:before="60" w:after="60" w:line="264" w:lineRule="auto"/>
        <w:ind w:firstLine="720"/>
        <w:jc w:val="both"/>
        <w:rPr>
          <w:rFonts w:asciiTheme="majorHAnsi" w:hAnsiTheme="majorHAnsi" w:cstheme="majorHAnsi"/>
          <w:sz w:val="28"/>
          <w:szCs w:val="28"/>
          <w:lang w:val="nl-NL"/>
        </w:rPr>
      </w:pPr>
      <w:r w:rsidRPr="006F315D">
        <w:rPr>
          <w:rFonts w:asciiTheme="majorHAnsi" w:hAnsiTheme="majorHAnsi" w:cstheme="majorHAnsi"/>
          <w:b/>
          <w:sz w:val="28"/>
          <w:szCs w:val="28"/>
          <w:lang w:val="nb-NO"/>
        </w:rPr>
        <w:t>1.</w:t>
      </w:r>
      <w:r w:rsidRPr="006F315D">
        <w:rPr>
          <w:rFonts w:asciiTheme="majorHAnsi" w:hAnsiTheme="majorHAnsi" w:cstheme="majorHAnsi"/>
          <w:sz w:val="28"/>
          <w:szCs w:val="28"/>
          <w:lang w:val="nb-NO"/>
        </w:rPr>
        <w:t xml:space="preserve"> Thể chế hóa quan điểm, chủ trương của Đảng và chính sách của Nhà nước về hoàn thiện chính sách tài chính về BVMT và cơ cấu một bước lại nguồn thu NSNN.</w:t>
      </w:r>
    </w:p>
    <w:p w:rsidR="003A7E2D" w:rsidRPr="006F315D" w:rsidRDefault="003A7E2D" w:rsidP="00DF3E56">
      <w:pPr>
        <w:widowControl w:val="0"/>
        <w:spacing w:before="60" w:after="60" w:line="264" w:lineRule="auto"/>
        <w:ind w:firstLine="720"/>
        <w:jc w:val="both"/>
        <w:rPr>
          <w:rFonts w:asciiTheme="majorHAnsi" w:hAnsiTheme="majorHAnsi" w:cstheme="majorHAnsi"/>
          <w:sz w:val="28"/>
          <w:szCs w:val="28"/>
          <w:lang w:val="sv-SE"/>
        </w:rPr>
      </w:pPr>
      <w:r w:rsidRPr="006F315D">
        <w:rPr>
          <w:rFonts w:asciiTheme="majorHAnsi" w:hAnsiTheme="majorHAnsi" w:cstheme="majorHAnsi"/>
          <w:b/>
          <w:sz w:val="28"/>
          <w:szCs w:val="28"/>
          <w:lang w:val="nb-NO"/>
        </w:rPr>
        <w:lastRenderedPageBreak/>
        <w:t>2.</w:t>
      </w:r>
      <w:r w:rsidRPr="006F315D">
        <w:rPr>
          <w:rFonts w:asciiTheme="majorHAnsi" w:hAnsiTheme="majorHAnsi" w:cstheme="majorHAnsi"/>
          <w:sz w:val="28"/>
          <w:szCs w:val="28"/>
          <w:lang w:val="nb-NO"/>
        </w:rPr>
        <w:t xml:space="preserve"> </w:t>
      </w:r>
      <w:r w:rsidRPr="006F315D">
        <w:rPr>
          <w:rFonts w:asciiTheme="majorHAnsi" w:hAnsiTheme="majorHAnsi" w:cstheme="majorHAnsi"/>
          <w:sz w:val="28"/>
          <w:szCs w:val="28"/>
          <w:lang w:val="sv-SE"/>
        </w:rPr>
        <w:t>Khuyến khích mọi tổ chức, cá nhân sử dụng tiết kiệm hàng hóa khi sử dụng gây tác hại đến môi trường; khuyến khích việc sử dụng các hàng hóa thân thiện với môi trường, góp phần giảm thiểu ô nhiễm môi trường.</w:t>
      </w:r>
    </w:p>
    <w:p w:rsidR="003A7E2D" w:rsidRPr="006F315D" w:rsidRDefault="003A7E2D" w:rsidP="00DF3E56">
      <w:pPr>
        <w:spacing w:before="60" w:after="60" w:line="264" w:lineRule="auto"/>
        <w:ind w:firstLine="720"/>
        <w:jc w:val="both"/>
        <w:rPr>
          <w:rFonts w:asciiTheme="majorHAnsi" w:hAnsiTheme="majorHAnsi" w:cstheme="majorHAnsi"/>
          <w:sz w:val="28"/>
          <w:szCs w:val="28"/>
          <w:lang w:val="nl-NL"/>
        </w:rPr>
      </w:pPr>
      <w:r w:rsidRPr="006F315D">
        <w:rPr>
          <w:rFonts w:asciiTheme="majorHAnsi" w:hAnsiTheme="majorHAnsi" w:cstheme="majorHAnsi"/>
          <w:b/>
          <w:sz w:val="28"/>
          <w:szCs w:val="28"/>
          <w:lang w:val="nb-NO"/>
        </w:rPr>
        <w:t xml:space="preserve">3. </w:t>
      </w:r>
      <w:r w:rsidRPr="006F315D">
        <w:rPr>
          <w:rFonts w:asciiTheme="majorHAnsi" w:hAnsiTheme="majorHAnsi" w:cstheme="majorHAnsi"/>
          <w:sz w:val="28"/>
          <w:szCs w:val="28"/>
          <w:lang w:val="nb-NO"/>
        </w:rPr>
        <w:t xml:space="preserve">Thực hiện mục tiêu cải cách thuế BVMT; </w:t>
      </w:r>
      <w:r w:rsidRPr="006F315D">
        <w:rPr>
          <w:rFonts w:asciiTheme="majorHAnsi" w:hAnsiTheme="majorHAnsi" w:cstheme="majorHAnsi"/>
          <w:sz w:val="28"/>
          <w:szCs w:val="28"/>
          <w:lang w:val="nl-NL"/>
        </w:rPr>
        <w:t>khắc phục những hạn chế về mức thuế BVMT hiện hành của một số hàng hóa.</w:t>
      </w:r>
    </w:p>
    <w:p w:rsidR="003A7E2D" w:rsidRPr="006F315D" w:rsidRDefault="003A7E2D" w:rsidP="00DF3E56">
      <w:pPr>
        <w:spacing w:before="60" w:after="60" w:line="264" w:lineRule="auto"/>
        <w:ind w:firstLine="720"/>
        <w:jc w:val="both"/>
        <w:rPr>
          <w:rFonts w:asciiTheme="majorHAnsi" w:hAnsiTheme="majorHAnsi" w:cstheme="majorHAnsi"/>
          <w:sz w:val="28"/>
          <w:szCs w:val="28"/>
          <w:lang w:val="nl-NL"/>
        </w:rPr>
      </w:pPr>
      <w:r w:rsidRPr="006F315D">
        <w:rPr>
          <w:rFonts w:asciiTheme="majorHAnsi" w:hAnsiTheme="majorHAnsi" w:cstheme="majorHAnsi"/>
          <w:b/>
          <w:sz w:val="28"/>
          <w:szCs w:val="28"/>
          <w:lang w:val="nb-NO"/>
        </w:rPr>
        <w:t>4.</w:t>
      </w:r>
      <w:r w:rsidRPr="006F315D">
        <w:rPr>
          <w:rFonts w:asciiTheme="majorHAnsi" w:hAnsiTheme="majorHAnsi" w:cstheme="majorHAnsi"/>
          <w:sz w:val="28"/>
          <w:szCs w:val="28"/>
          <w:lang w:val="nb-NO"/>
        </w:rPr>
        <w:t xml:space="preserve"> Phù hợp với bối cảnh phát triển kinh tế - xã hội; </w:t>
      </w:r>
      <w:r w:rsidRPr="006F315D">
        <w:rPr>
          <w:rFonts w:asciiTheme="majorHAnsi" w:hAnsiTheme="majorHAnsi" w:cstheme="majorHAnsi"/>
          <w:sz w:val="28"/>
          <w:szCs w:val="28"/>
          <w:lang w:val="nl-NL"/>
        </w:rPr>
        <w:t>đảm bảo lợi ích quốc gia trong điều kiện hội nhập sâu khi thực hiện cắt giảm dần thuế nhập khẩu theo các cam kết quốc tế; và thực hiện các cam kết quốc tế của Việt Nam về BVMT.</w:t>
      </w:r>
    </w:p>
    <w:p w:rsidR="003A7E2D" w:rsidRPr="006F315D" w:rsidRDefault="003A7E2D" w:rsidP="00DF3E56">
      <w:pPr>
        <w:spacing w:before="60" w:after="60" w:line="264" w:lineRule="auto"/>
        <w:ind w:firstLine="720"/>
        <w:jc w:val="both"/>
        <w:rPr>
          <w:rFonts w:asciiTheme="majorHAnsi" w:hAnsiTheme="majorHAnsi" w:cstheme="majorHAnsi"/>
          <w:sz w:val="28"/>
          <w:szCs w:val="28"/>
          <w:lang w:val="nb-NO"/>
        </w:rPr>
      </w:pPr>
      <w:r w:rsidRPr="006F315D">
        <w:rPr>
          <w:rFonts w:asciiTheme="majorHAnsi" w:hAnsiTheme="majorHAnsi" w:cstheme="majorHAnsi"/>
          <w:b/>
          <w:sz w:val="28"/>
          <w:szCs w:val="28"/>
          <w:lang w:val="nb-NO"/>
        </w:rPr>
        <w:t>5.</w:t>
      </w:r>
      <w:r w:rsidRPr="006F315D">
        <w:rPr>
          <w:rFonts w:asciiTheme="majorHAnsi" w:hAnsiTheme="majorHAnsi" w:cstheme="majorHAnsi"/>
          <w:sz w:val="28"/>
          <w:szCs w:val="28"/>
          <w:lang w:val="nb-NO"/>
        </w:rPr>
        <w:t xml:space="preserve"> Động viên hợp lý đóng góp của xã hội, góp phần tăng thu NSNN để </w:t>
      </w:r>
      <w:r w:rsidRPr="006F315D">
        <w:rPr>
          <w:rFonts w:asciiTheme="majorHAnsi" w:hAnsiTheme="majorHAnsi" w:cstheme="majorHAnsi"/>
          <w:bCs/>
          <w:sz w:val="28"/>
          <w:szCs w:val="28"/>
          <w:lang w:val="pt-BR"/>
        </w:rPr>
        <w:t>thực hiện các nhiệm vụ kinh tế - xã hội của đất nước, trong đó có nhiệm vụ chi cho BVMT</w:t>
      </w:r>
      <w:r w:rsidRPr="006F315D">
        <w:rPr>
          <w:rFonts w:asciiTheme="majorHAnsi" w:hAnsiTheme="majorHAnsi" w:cstheme="majorHAnsi"/>
          <w:sz w:val="28"/>
          <w:szCs w:val="28"/>
          <w:lang w:val="nb-NO"/>
        </w:rPr>
        <w:t>.</w:t>
      </w:r>
    </w:p>
    <w:p w:rsidR="009C704B" w:rsidRPr="006F315D" w:rsidRDefault="003F4C07" w:rsidP="00DF3E56">
      <w:pPr>
        <w:widowControl w:val="0"/>
        <w:spacing w:before="60" w:after="60" w:line="264" w:lineRule="auto"/>
        <w:ind w:firstLine="720"/>
        <w:jc w:val="both"/>
        <w:rPr>
          <w:sz w:val="28"/>
          <w:szCs w:val="28"/>
          <w:lang w:val="nl-NL"/>
        </w:rPr>
      </w:pPr>
      <w:r w:rsidRPr="006F315D">
        <w:rPr>
          <w:sz w:val="28"/>
          <w:szCs w:val="28"/>
          <w:lang w:val="nl-NL"/>
        </w:rPr>
        <w:t xml:space="preserve">Trên đây là Báo cáo tổng kết, đánh giá tình hình thực hiện </w:t>
      </w:r>
      <w:r w:rsidR="00CC5850" w:rsidRPr="006F315D">
        <w:rPr>
          <w:sz w:val="28"/>
          <w:szCs w:val="28"/>
          <w:lang w:val="nl-NL"/>
        </w:rPr>
        <w:t>quy định về mức thuế BVMT của Ủy ban Thường vụ Quốc hội</w:t>
      </w:r>
      <w:r w:rsidRPr="006F315D">
        <w:rPr>
          <w:sz w:val="28"/>
          <w:szCs w:val="28"/>
          <w:lang w:val="nl-NL"/>
        </w:rPr>
        <w:t>./.</w:t>
      </w:r>
    </w:p>
    <w:p w:rsidR="00800CC4" w:rsidRPr="00C87534" w:rsidRDefault="00363F38" w:rsidP="00DB71B6">
      <w:pPr>
        <w:widowControl w:val="0"/>
        <w:spacing w:before="60" w:after="60" w:line="252" w:lineRule="auto"/>
        <w:ind w:firstLine="720"/>
        <w:jc w:val="right"/>
        <w:rPr>
          <w:b/>
          <w:lang w:val="pt-BR"/>
        </w:rPr>
      </w:pPr>
      <w:r>
        <w:rPr>
          <w:b/>
          <w:lang w:val="pt-BR"/>
        </w:rPr>
        <w:t>CH</w:t>
      </w:r>
      <w:r w:rsidRPr="00363F38">
        <w:rPr>
          <w:b/>
          <w:lang w:val="pt-BR"/>
        </w:rPr>
        <w:t>ÍN</w:t>
      </w:r>
      <w:r>
        <w:rPr>
          <w:b/>
          <w:lang w:val="pt-BR"/>
        </w:rPr>
        <w:t>H PH</w:t>
      </w:r>
      <w:r w:rsidRPr="00363F38">
        <w:rPr>
          <w:b/>
          <w:lang w:val="pt-BR"/>
        </w:rPr>
        <w:t>Ủ</w:t>
      </w:r>
    </w:p>
    <w:sectPr w:rsidR="00800CC4" w:rsidRPr="00C87534" w:rsidSect="000B45B0">
      <w:footerReference w:type="even" r:id="rId10"/>
      <w:footerReference w:type="default" r:id="rId11"/>
      <w:pgSz w:w="11907" w:h="16840" w:code="9"/>
      <w:pgMar w:top="1134" w:right="1191" w:bottom="1134" w:left="1758" w:header="720" w:footer="68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48DA" w:rsidRDefault="001348DA" w:rsidP="00FF07BD">
      <w:r>
        <w:separator/>
      </w:r>
    </w:p>
  </w:endnote>
  <w:endnote w:type="continuationSeparator" w:id="1">
    <w:p w:rsidR="001348DA" w:rsidRDefault="001348DA" w:rsidP="00FF07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Meiryo"/>
    <w:panose1 w:val="00000000000000000000"/>
    <w:charset w:val="80"/>
    <w:family w:val="auto"/>
    <w:notTrueType/>
    <w:pitch w:val="default"/>
    <w:sig w:usb0="00000001" w:usb1="08070000" w:usb2="00000010" w:usb3="00000000" w:csb0="00020000" w:csb1="00000000"/>
  </w:font>
  <w:font w:name="Arial">
    <w:panose1 w:val="020B0604020202020204"/>
    <w:charset w:val="A3"/>
    <w:family w:val="swiss"/>
    <w:pitch w:val="variable"/>
    <w:sig w:usb0="20002A87" w:usb1="80000000" w:usb2="00000008" w:usb3="00000000" w:csb0="000001FF" w:csb1="00000000"/>
  </w:font>
  <w:font w:name="Verdana">
    <w:panose1 w:val="020B0604030504040204"/>
    <w:charset w:val="A3"/>
    <w:family w:val="swiss"/>
    <w:pitch w:val="variable"/>
    <w:sig w:usb0="20000287" w:usb1="00000000" w:usb2="00000000" w:usb3="00000000" w:csb0="0000019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nTimeH">
    <w:panose1 w:val="020B7200000000000000"/>
    <w:charset w:val="00"/>
    <w:family w:val="swiss"/>
    <w:pitch w:val="variable"/>
    <w:sig w:usb0="00000007" w:usb1="00000000" w:usb2="00000000" w:usb3="00000000" w:csb0="00000013"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A3"/>
    <w:family w:val="roman"/>
    <w:pitch w:val="variable"/>
    <w:sig w:usb0="E00002FF" w:usb1="400004FF" w:usb2="00000000" w:usb3="00000000" w:csb0="0000019F" w:csb1="00000000"/>
  </w:font>
  <w:font w:name="Times New Roman Bold">
    <w:panose1 w:val="00000000000000000000"/>
    <w:charset w:val="00"/>
    <w:family w:val="roman"/>
    <w:notTrueType/>
    <w:pitch w:val="default"/>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VnArialH">
    <w:panose1 w:val="020B7200000000000000"/>
    <w:charset w:val="00"/>
    <w:family w:val="swiss"/>
    <w:pitch w:val="variable"/>
    <w:sig w:usb0="00000003" w:usb1="00000000" w:usb2="00000000" w:usb3="00000000" w:csb0="00000001" w:csb1="00000000"/>
  </w:font>
  <w:font w:name="Times">
    <w:panose1 w:val="02020603050405020304"/>
    <w:charset w:val="A3"/>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6FE" w:rsidRDefault="004D688D" w:rsidP="004113F0">
    <w:pPr>
      <w:pStyle w:val="Footer"/>
      <w:framePr w:wrap="around" w:vAnchor="text" w:hAnchor="margin" w:xAlign="center" w:y="1"/>
      <w:rPr>
        <w:rStyle w:val="PageNumber"/>
      </w:rPr>
    </w:pPr>
    <w:r>
      <w:rPr>
        <w:rStyle w:val="PageNumber"/>
      </w:rPr>
      <w:fldChar w:fldCharType="begin"/>
    </w:r>
    <w:r w:rsidR="00B026FE">
      <w:rPr>
        <w:rStyle w:val="PageNumber"/>
      </w:rPr>
      <w:instrText xml:space="preserve">PAGE  </w:instrText>
    </w:r>
    <w:r>
      <w:rPr>
        <w:rStyle w:val="PageNumber"/>
      </w:rPr>
      <w:fldChar w:fldCharType="end"/>
    </w:r>
  </w:p>
  <w:p w:rsidR="00B026FE" w:rsidRDefault="00B026F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299929"/>
      <w:docPartObj>
        <w:docPartGallery w:val="Page Numbers (Bottom of Page)"/>
        <w:docPartUnique/>
      </w:docPartObj>
    </w:sdtPr>
    <w:sdtContent>
      <w:p w:rsidR="00B026FE" w:rsidRDefault="004D688D">
        <w:pPr>
          <w:pStyle w:val="Footer"/>
          <w:jc w:val="right"/>
        </w:pPr>
        <w:fldSimple w:instr=" PAGE   \* MERGEFORMAT ">
          <w:r w:rsidR="006E4D5A">
            <w:rPr>
              <w:noProof/>
            </w:rPr>
            <w:t>13</w:t>
          </w:r>
        </w:fldSimple>
      </w:p>
    </w:sdtContent>
  </w:sdt>
  <w:p w:rsidR="00B026FE" w:rsidRDefault="00B026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48DA" w:rsidRDefault="001348DA" w:rsidP="00FF07BD">
      <w:r>
        <w:separator/>
      </w:r>
    </w:p>
  </w:footnote>
  <w:footnote w:type="continuationSeparator" w:id="1">
    <w:p w:rsidR="001348DA" w:rsidRDefault="001348DA" w:rsidP="00FF07BD">
      <w:r>
        <w:continuationSeparator/>
      </w:r>
    </w:p>
  </w:footnote>
  <w:footnote w:id="2">
    <w:p w:rsidR="006D2650" w:rsidRPr="004F427E" w:rsidRDefault="006D2650" w:rsidP="006D2650">
      <w:pPr>
        <w:jc w:val="both"/>
        <w:rPr>
          <w:sz w:val="20"/>
          <w:szCs w:val="20"/>
          <w:lang w:val="sq-AL"/>
        </w:rPr>
      </w:pPr>
      <w:r w:rsidRPr="004F427E">
        <w:rPr>
          <w:rStyle w:val="FootnoteReference"/>
          <w:sz w:val="20"/>
          <w:szCs w:val="20"/>
        </w:rPr>
        <w:footnoteRef/>
      </w:r>
      <w:r w:rsidRPr="004F427E">
        <w:rPr>
          <w:sz w:val="20"/>
          <w:szCs w:val="20"/>
          <w:lang w:val="sq-AL"/>
        </w:rPr>
        <w:t xml:space="preserve"> </w:t>
      </w:r>
      <w:r w:rsidRPr="004F427E">
        <w:rPr>
          <w:color w:val="000000"/>
          <w:sz w:val="20"/>
          <w:szCs w:val="20"/>
          <w:lang w:val="nl-NL" w:eastAsia="vi-VN"/>
        </w:rPr>
        <w:t>PGS, TS Lê Thu Hoa - Đại học Kinh tế quốc dân Hà Nội (bài trình bày tham luận tại Hội thảo lấy ý kiến về dự án Luật sửa đổi, bổ sung một số điề</w:t>
      </w:r>
      <w:r w:rsidR="00270AD7">
        <w:rPr>
          <w:color w:val="000000"/>
          <w:sz w:val="20"/>
          <w:szCs w:val="20"/>
          <w:lang w:val="nl-NL" w:eastAsia="vi-VN"/>
        </w:rPr>
        <w:t xml:space="preserve">u của Luật thuế BVMT do </w:t>
      </w:r>
      <w:r w:rsidR="00270AD7" w:rsidRPr="00270AD7">
        <w:rPr>
          <w:color w:val="000000"/>
          <w:sz w:val="20"/>
          <w:szCs w:val="20"/>
          <w:lang w:val="nl-NL" w:eastAsia="vi-VN"/>
        </w:rPr>
        <w:t>Ủy</w:t>
      </w:r>
      <w:r w:rsidR="00270AD7">
        <w:rPr>
          <w:color w:val="000000"/>
          <w:sz w:val="20"/>
          <w:szCs w:val="20"/>
          <w:lang w:val="nl-NL" w:eastAsia="vi-VN"/>
        </w:rPr>
        <w:t xml:space="preserve"> ban T</w:t>
      </w:r>
      <w:r w:rsidR="00270AD7" w:rsidRPr="00270AD7">
        <w:rPr>
          <w:color w:val="000000"/>
          <w:sz w:val="20"/>
          <w:szCs w:val="20"/>
          <w:lang w:val="nl-NL" w:eastAsia="vi-VN"/>
        </w:rPr>
        <w:t>à</w:t>
      </w:r>
      <w:r w:rsidR="00270AD7">
        <w:rPr>
          <w:color w:val="000000"/>
          <w:sz w:val="20"/>
          <w:szCs w:val="20"/>
          <w:lang w:val="nl-NL" w:eastAsia="vi-VN"/>
        </w:rPr>
        <w:t>i ch</w:t>
      </w:r>
      <w:r w:rsidR="00270AD7" w:rsidRPr="00270AD7">
        <w:rPr>
          <w:color w:val="000000"/>
          <w:sz w:val="20"/>
          <w:szCs w:val="20"/>
          <w:lang w:val="nl-NL" w:eastAsia="vi-VN"/>
        </w:rPr>
        <w:t>í</w:t>
      </w:r>
      <w:r w:rsidR="00270AD7">
        <w:rPr>
          <w:color w:val="000000"/>
          <w:sz w:val="20"/>
          <w:szCs w:val="20"/>
          <w:lang w:val="nl-NL" w:eastAsia="vi-VN"/>
        </w:rPr>
        <w:t>nh Ng</w:t>
      </w:r>
      <w:r w:rsidR="00270AD7" w:rsidRPr="00270AD7">
        <w:rPr>
          <w:color w:val="000000"/>
          <w:sz w:val="20"/>
          <w:szCs w:val="20"/>
          <w:lang w:val="nl-NL" w:eastAsia="vi-VN"/>
        </w:rPr>
        <w:t>â</w:t>
      </w:r>
      <w:r w:rsidR="00270AD7">
        <w:rPr>
          <w:color w:val="000000"/>
          <w:sz w:val="20"/>
          <w:szCs w:val="20"/>
          <w:lang w:val="nl-NL" w:eastAsia="vi-VN"/>
        </w:rPr>
        <w:t>n s</w:t>
      </w:r>
      <w:r w:rsidR="00270AD7" w:rsidRPr="00270AD7">
        <w:rPr>
          <w:color w:val="000000"/>
          <w:sz w:val="20"/>
          <w:szCs w:val="20"/>
          <w:lang w:val="nl-NL" w:eastAsia="vi-VN"/>
        </w:rPr>
        <w:t>ách</w:t>
      </w:r>
      <w:r w:rsidR="00270AD7">
        <w:rPr>
          <w:color w:val="000000"/>
          <w:sz w:val="20"/>
          <w:szCs w:val="20"/>
          <w:lang w:val="nl-NL" w:eastAsia="vi-VN"/>
        </w:rPr>
        <w:t xml:space="preserve"> Qu</w:t>
      </w:r>
      <w:r w:rsidR="00270AD7" w:rsidRPr="00270AD7">
        <w:rPr>
          <w:color w:val="000000"/>
          <w:sz w:val="20"/>
          <w:szCs w:val="20"/>
          <w:lang w:val="nl-NL" w:eastAsia="vi-VN"/>
        </w:rPr>
        <w:t>ốc</w:t>
      </w:r>
      <w:r w:rsidR="00270AD7">
        <w:rPr>
          <w:color w:val="000000"/>
          <w:sz w:val="20"/>
          <w:szCs w:val="20"/>
          <w:lang w:val="nl-NL" w:eastAsia="vi-VN"/>
        </w:rPr>
        <w:t xml:space="preserve"> h</w:t>
      </w:r>
      <w:r w:rsidR="00270AD7" w:rsidRPr="00270AD7">
        <w:rPr>
          <w:color w:val="000000"/>
          <w:sz w:val="20"/>
          <w:szCs w:val="20"/>
          <w:lang w:val="nl-NL" w:eastAsia="vi-VN"/>
        </w:rPr>
        <w:t>ội</w:t>
      </w:r>
      <w:r w:rsidRPr="004F427E">
        <w:rPr>
          <w:color w:val="000000"/>
          <w:sz w:val="20"/>
          <w:szCs w:val="20"/>
          <w:lang w:val="nl-NL" w:eastAsia="vi-VN"/>
        </w:rPr>
        <w:t xml:space="preserve"> tổ chức tháng 9/2017).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A12AD"/>
    <w:multiLevelType w:val="multilevel"/>
    <w:tmpl w:val="F4FADFDA"/>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28B44C4"/>
    <w:multiLevelType w:val="hybridMultilevel"/>
    <w:tmpl w:val="945C1986"/>
    <w:lvl w:ilvl="0" w:tplc="3E3262D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A323BE"/>
    <w:multiLevelType w:val="hybridMultilevel"/>
    <w:tmpl w:val="EF4858E6"/>
    <w:lvl w:ilvl="0" w:tplc="AE06CA8C">
      <w:start w:val="2"/>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6CE3330"/>
    <w:multiLevelType w:val="hybridMultilevel"/>
    <w:tmpl w:val="4CC82D68"/>
    <w:lvl w:ilvl="0" w:tplc="04090001">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0C5424E3"/>
    <w:multiLevelType w:val="hybridMultilevel"/>
    <w:tmpl w:val="9AFA0894"/>
    <w:lvl w:ilvl="0" w:tplc="04090001">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16631498"/>
    <w:multiLevelType w:val="hybridMultilevel"/>
    <w:tmpl w:val="852C89A2"/>
    <w:lvl w:ilvl="0" w:tplc="AE06CA8C">
      <w:start w:val="2"/>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18176F05"/>
    <w:multiLevelType w:val="multilevel"/>
    <w:tmpl w:val="27040E1A"/>
    <w:lvl w:ilvl="0">
      <w:start w:val="1"/>
      <w:numFmt w:val="decimal"/>
      <w:lvlText w:val="%1."/>
      <w:lvlJc w:val="left"/>
      <w:pPr>
        <w:tabs>
          <w:tab w:val="num" w:pos="360"/>
        </w:tabs>
        <w:ind w:left="360" w:hanging="360"/>
      </w:pPr>
      <w:rPr>
        <w:rFonts w:hint="default"/>
      </w:rPr>
    </w:lvl>
    <w:lvl w:ilvl="1">
      <w:start w:val="3"/>
      <w:numFmt w:val="bullet"/>
      <w:lvlText w:val="-"/>
      <w:lvlJc w:val="left"/>
      <w:pPr>
        <w:tabs>
          <w:tab w:val="num" w:pos="1440"/>
        </w:tabs>
        <w:ind w:left="1440" w:hanging="360"/>
      </w:pPr>
      <w:rPr>
        <w:rFonts w:ascii="Times New Roman" w:eastAsia="TimesNewRomanPSMT"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9796972"/>
    <w:multiLevelType w:val="hybridMultilevel"/>
    <w:tmpl w:val="FA9CD038"/>
    <w:lvl w:ilvl="0" w:tplc="3E3262D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CBE5CA5"/>
    <w:multiLevelType w:val="hybridMultilevel"/>
    <w:tmpl w:val="C79074C2"/>
    <w:lvl w:ilvl="0" w:tplc="AE06CA8C">
      <w:start w:val="2"/>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1E316C35"/>
    <w:multiLevelType w:val="hybridMultilevel"/>
    <w:tmpl w:val="1362ED6E"/>
    <w:lvl w:ilvl="0" w:tplc="3E3262D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7F05CC1"/>
    <w:multiLevelType w:val="hybridMultilevel"/>
    <w:tmpl w:val="C99E2EBE"/>
    <w:lvl w:ilvl="0" w:tplc="FDD8E22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nsid w:val="28B43EEF"/>
    <w:multiLevelType w:val="hybridMultilevel"/>
    <w:tmpl w:val="54387822"/>
    <w:lvl w:ilvl="0" w:tplc="AE06CA8C">
      <w:start w:val="2"/>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28ED4354"/>
    <w:multiLevelType w:val="hybridMultilevel"/>
    <w:tmpl w:val="488A5BF4"/>
    <w:lvl w:ilvl="0" w:tplc="6C161176">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3">
    <w:nsid w:val="2A1C335A"/>
    <w:multiLevelType w:val="hybridMultilevel"/>
    <w:tmpl w:val="9A08A200"/>
    <w:lvl w:ilvl="0" w:tplc="AE06CA8C">
      <w:start w:val="2"/>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2AE55BD5"/>
    <w:multiLevelType w:val="hybridMultilevel"/>
    <w:tmpl w:val="7C48545C"/>
    <w:lvl w:ilvl="0" w:tplc="AE06CA8C">
      <w:start w:val="2"/>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2BFD365C"/>
    <w:multiLevelType w:val="hybridMultilevel"/>
    <w:tmpl w:val="F2A0978C"/>
    <w:lvl w:ilvl="0" w:tplc="A0D2096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D973871"/>
    <w:multiLevelType w:val="hybridMultilevel"/>
    <w:tmpl w:val="0D5A728A"/>
    <w:lvl w:ilvl="0" w:tplc="3E3262D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nsid w:val="2D97426B"/>
    <w:multiLevelType w:val="hybridMultilevel"/>
    <w:tmpl w:val="B2DE939C"/>
    <w:lvl w:ilvl="0" w:tplc="75C47958">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8">
    <w:nsid w:val="31E72512"/>
    <w:multiLevelType w:val="multilevel"/>
    <w:tmpl w:val="FA9CD03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36A2959"/>
    <w:multiLevelType w:val="hybridMultilevel"/>
    <w:tmpl w:val="9236B8F4"/>
    <w:lvl w:ilvl="0" w:tplc="1E5E6288">
      <w:start w:val="1"/>
      <w:numFmt w:val="bullet"/>
      <w:lvlText w:val="-"/>
      <w:lvlJc w:val="left"/>
      <w:pPr>
        <w:ind w:left="252" w:hanging="360"/>
      </w:pPr>
      <w:rPr>
        <w:rFonts w:ascii="Times New Roman" w:eastAsia="Times New Roman" w:hAnsi="Times New Roman" w:cs="Times New Roman"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20">
    <w:nsid w:val="38025243"/>
    <w:multiLevelType w:val="hybridMultilevel"/>
    <w:tmpl w:val="27880124"/>
    <w:lvl w:ilvl="0" w:tplc="3E3262D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nsid w:val="3CD209F4"/>
    <w:multiLevelType w:val="hybridMultilevel"/>
    <w:tmpl w:val="1ED42BBC"/>
    <w:lvl w:ilvl="0" w:tplc="AE06CA8C">
      <w:start w:val="2"/>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3FA306E3"/>
    <w:multiLevelType w:val="hybridMultilevel"/>
    <w:tmpl w:val="E6445730"/>
    <w:lvl w:ilvl="0" w:tplc="AE06CA8C">
      <w:start w:val="2"/>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438E563C"/>
    <w:multiLevelType w:val="hybridMultilevel"/>
    <w:tmpl w:val="0BF4FDCC"/>
    <w:lvl w:ilvl="0" w:tplc="3E3262D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3D75FE0"/>
    <w:multiLevelType w:val="hybridMultilevel"/>
    <w:tmpl w:val="A38801BE"/>
    <w:lvl w:ilvl="0" w:tplc="DFAEACD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5">
    <w:nsid w:val="49C2638F"/>
    <w:multiLevelType w:val="hybridMultilevel"/>
    <w:tmpl w:val="A784249E"/>
    <w:lvl w:ilvl="0" w:tplc="9B30EA5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6">
    <w:nsid w:val="4CB86765"/>
    <w:multiLevelType w:val="hybridMultilevel"/>
    <w:tmpl w:val="DC4283D0"/>
    <w:lvl w:ilvl="0" w:tplc="04090001">
      <w:start w:val="1"/>
      <w:numFmt w:val="decimal"/>
      <w:lvlText w:val="%1."/>
      <w:lvlJc w:val="left"/>
      <w:pPr>
        <w:tabs>
          <w:tab w:val="num" w:pos="1080"/>
        </w:tabs>
        <w:ind w:left="1080" w:hanging="360"/>
      </w:pPr>
      <w:rPr>
        <w:rFonts w:hint="default"/>
      </w:rPr>
    </w:lvl>
    <w:lvl w:ilvl="1" w:tplc="2C5E975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CC15A1F"/>
    <w:multiLevelType w:val="hybridMultilevel"/>
    <w:tmpl w:val="1EFE712A"/>
    <w:lvl w:ilvl="0" w:tplc="3E3262D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1003F75"/>
    <w:multiLevelType w:val="hybridMultilevel"/>
    <w:tmpl w:val="501A58AC"/>
    <w:lvl w:ilvl="0" w:tplc="3E3262D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6392095"/>
    <w:multiLevelType w:val="hybridMultilevel"/>
    <w:tmpl w:val="A6F0D2F8"/>
    <w:lvl w:ilvl="0" w:tplc="795AE1DC">
      <w:start w:val="1"/>
      <w:numFmt w:val="decimal"/>
      <w:lvlText w:val="%1."/>
      <w:lvlJc w:val="left"/>
      <w:pPr>
        <w:tabs>
          <w:tab w:val="num" w:pos="360"/>
        </w:tabs>
        <w:ind w:left="360" w:hanging="360"/>
      </w:pPr>
      <w:rPr>
        <w:rFonts w:hint="default"/>
        <w:b w:val="0"/>
        <w:i w:val="0"/>
      </w:rPr>
    </w:lvl>
    <w:lvl w:ilvl="1" w:tplc="548AC2C6">
      <w:start w:val="3"/>
      <w:numFmt w:val="bullet"/>
      <w:lvlText w:val="-"/>
      <w:lvlJc w:val="left"/>
      <w:pPr>
        <w:tabs>
          <w:tab w:val="num" w:pos="1440"/>
        </w:tabs>
        <w:ind w:left="1440" w:hanging="360"/>
      </w:pPr>
      <w:rPr>
        <w:rFonts w:ascii="Times New Roman" w:eastAsia="TimesNewRomanPSMT" w:hAnsi="Times New Roman"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69318AC"/>
    <w:multiLevelType w:val="hybridMultilevel"/>
    <w:tmpl w:val="618477EC"/>
    <w:lvl w:ilvl="0" w:tplc="AE06CA8C">
      <w:start w:val="2"/>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nsid w:val="5A261D99"/>
    <w:multiLevelType w:val="hybridMultilevel"/>
    <w:tmpl w:val="72E418F4"/>
    <w:lvl w:ilvl="0" w:tplc="03A87D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ECB61C0"/>
    <w:multiLevelType w:val="hybridMultilevel"/>
    <w:tmpl w:val="77403C66"/>
    <w:lvl w:ilvl="0" w:tplc="3E3262D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FA172A4"/>
    <w:multiLevelType w:val="multilevel"/>
    <w:tmpl w:val="E3A23ADA"/>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791796A"/>
    <w:multiLevelType w:val="hybridMultilevel"/>
    <w:tmpl w:val="EAD2125E"/>
    <w:lvl w:ilvl="0" w:tplc="04090001">
      <w:start w:val="1"/>
      <w:numFmt w:val="decimal"/>
      <w:lvlText w:val="%1."/>
      <w:lvlJc w:val="left"/>
      <w:pPr>
        <w:tabs>
          <w:tab w:val="num" w:pos="1080"/>
        </w:tabs>
        <w:ind w:left="1080" w:hanging="360"/>
      </w:pPr>
      <w:rPr>
        <w:rFonts w:hint="default"/>
      </w:rPr>
    </w:lvl>
    <w:lvl w:ilvl="1" w:tplc="04090003" w:tentative="1">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35">
    <w:nsid w:val="68612267"/>
    <w:multiLevelType w:val="hybridMultilevel"/>
    <w:tmpl w:val="E3A23ADA"/>
    <w:lvl w:ilvl="0" w:tplc="04090001">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8B941A1"/>
    <w:multiLevelType w:val="hybridMultilevel"/>
    <w:tmpl w:val="F4FADFDA"/>
    <w:lvl w:ilvl="0" w:tplc="04090001">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9082D04"/>
    <w:multiLevelType w:val="hybridMultilevel"/>
    <w:tmpl w:val="6BB46146"/>
    <w:lvl w:ilvl="0" w:tplc="AE06CA8C">
      <w:start w:val="2"/>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nsid w:val="6AAA4BBF"/>
    <w:multiLevelType w:val="hybridMultilevel"/>
    <w:tmpl w:val="94FE3F6E"/>
    <w:lvl w:ilvl="0" w:tplc="3E3262DE">
      <w:start w:val="1"/>
      <w:numFmt w:val="decimal"/>
      <w:lvlText w:val="%1."/>
      <w:lvlJc w:val="left"/>
      <w:pPr>
        <w:tabs>
          <w:tab w:val="num" w:pos="360"/>
        </w:tabs>
        <w:ind w:left="360" w:hanging="360"/>
      </w:pPr>
      <w:rPr>
        <w:rFonts w:hint="default"/>
      </w:rPr>
    </w:lvl>
    <w:lvl w:ilvl="1" w:tplc="04090001">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84260FA"/>
    <w:multiLevelType w:val="hybridMultilevel"/>
    <w:tmpl w:val="2102CFD4"/>
    <w:lvl w:ilvl="0" w:tplc="AE06CA8C">
      <w:start w:val="2"/>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nsid w:val="7D365983"/>
    <w:multiLevelType w:val="hybridMultilevel"/>
    <w:tmpl w:val="A620C288"/>
    <w:lvl w:ilvl="0" w:tplc="A09C1C5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1">
    <w:nsid w:val="7D86612D"/>
    <w:multiLevelType w:val="hybridMultilevel"/>
    <w:tmpl w:val="7EF4C2E2"/>
    <w:lvl w:ilvl="0" w:tplc="AE06CA8C">
      <w:start w:val="2"/>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2">
    <w:nsid w:val="7E6E0BC0"/>
    <w:multiLevelType w:val="hybridMultilevel"/>
    <w:tmpl w:val="0AC0C5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num>
  <w:num w:numId="2">
    <w:abstractNumId w:val="34"/>
  </w:num>
  <w:num w:numId="3">
    <w:abstractNumId w:val="3"/>
  </w:num>
  <w:num w:numId="4">
    <w:abstractNumId w:val="4"/>
  </w:num>
  <w:num w:numId="5">
    <w:abstractNumId w:val="26"/>
  </w:num>
  <w:num w:numId="6">
    <w:abstractNumId w:val="29"/>
  </w:num>
  <w:num w:numId="7">
    <w:abstractNumId w:val="20"/>
  </w:num>
  <w:num w:numId="8">
    <w:abstractNumId w:val="36"/>
  </w:num>
  <w:num w:numId="9">
    <w:abstractNumId w:val="0"/>
  </w:num>
  <w:num w:numId="10">
    <w:abstractNumId w:val="9"/>
  </w:num>
  <w:num w:numId="11">
    <w:abstractNumId w:val="16"/>
  </w:num>
  <w:num w:numId="12">
    <w:abstractNumId w:val="28"/>
  </w:num>
  <w:num w:numId="13">
    <w:abstractNumId w:val="7"/>
  </w:num>
  <w:num w:numId="14">
    <w:abstractNumId w:val="18"/>
  </w:num>
  <w:num w:numId="15">
    <w:abstractNumId w:val="38"/>
  </w:num>
  <w:num w:numId="16">
    <w:abstractNumId w:val="35"/>
  </w:num>
  <w:num w:numId="17">
    <w:abstractNumId w:val="33"/>
  </w:num>
  <w:num w:numId="18">
    <w:abstractNumId w:val="32"/>
  </w:num>
  <w:num w:numId="19">
    <w:abstractNumId w:val="23"/>
  </w:num>
  <w:num w:numId="20">
    <w:abstractNumId w:val="1"/>
  </w:num>
  <w:num w:numId="21">
    <w:abstractNumId w:val="27"/>
  </w:num>
  <w:num w:numId="22">
    <w:abstractNumId w:val="6"/>
  </w:num>
  <w:num w:numId="23">
    <w:abstractNumId w:val="31"/>
  </w:num>
  <w:num w:numId="24">
    <w:abstractNumId w:val="15"/>
  </w:num>
  <w:num w:numId="25">
    <w:abstractNumId w:val="37"/>
  </w:num>
  <w:num w:numId="26">
    <w:abstractNumId w:val="14"/>
  </w:num>
  <w:num w:numId="27">
    <w:abstractNumId w:val="30"/>
  </w:num>
  <w:num w:numId="28">
    <w:abstractNumId w:val="41"/>
  </w:num>
  <w:num w:numId="29">
    <w:abstractNumId w:val="2"/>
  </w:num>
  <w:num w:numId="30">
    <w:abstractNumId w:val="39"/>
  </w:num>
  <w:num w:numId="31">
    <w:abstractNumId w:val="22"/>
  </w:num>
  <w:num w:numId="32">
    <w:abstractNumId w:val="13"/>
  </w:num>
  <w:num w:numId="33">
    <w:abstractNumId w:val="11"/>
  </w:num>
  <w:num w:numId="34">
    <w:abstractNumId w:val="5"/>
  </w:num>
  <w:num w:numId="35">
    <w:abstractNumId w:val="21"/>
  </w:num>
  <w:num w:numId="36">
    <w:abstractNumId w:val="8"/>
  </w:num>
  <w:num w:numId="37">
    <w:abstractNumId w:val="42"/>
  </w:num>
  <w:num w:numId="38">
    <w:abstractNumId w:val="10"/>
  </w:num>
  <w:num w:numId="39">
    <w:abstractNumId w:val="24"/>
  </w:num>
  <w:num w:numId="40">
    <w:abstractNumId w:val="25"/>
  </w:num>
  <w:num w:numId="41">
    <w:abstractNumId w:val="17"/>
  </w:num>
  <w:num w:numId="42">
    <w:abstractNumId w:val="12"/>
  </w:num>
  <w:num w:numId="43">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20"/>
  <w:characterSpacingControl w:val="doNotCompress"/>
  <w:footnotePr>
    <w:footnote w:id="0"/>
    <w:footnote w:id="1"/>
  </w:footnotePr>
  <w:endnotePr>
    <w:endnote w:id="0"/>
    <w:endnote w:id="1"/>
  </w:endnotePr>
  <w:compat/>
  <w:rsids>
    <w:rsidRoot w:val="00FF07BD"/>
    <w:rsid w:val="000000A5"/>
    <w:rsid w:val="00000E7F"/>
    <w:rsid w:val="000033A1"/>
    <w:rsid w:val="00003A37"/>
    <w:rsid w:val="00005299"/>
    <w:rsid w:val="0000630E"/>
    <w:rsid w:val="000066B8"/>
    <w:rsid w:val="000079C1"/>
    <w:rsid w:val="0001698B"/>
    <w:rsid w:val="00016F0F"/>
    <w:rsid w:val="00021E01"/>
    <w:rsid w:val="00022765"/>
    <w:rsid w:val="0002304A"/>
    <w:rsid w:val="0002466B"/>
    <w:rsid w:val="00025507"/>
    <w:rsid w:val="000255E3"/>
    <w:rsid w:val="00030E4E"/>
    <w:rsid w:val="00031F5A"/>
    <w:rsid w:val="000335FF"/>
    <w:rsid w:val="0003382B"/>
    <w:rsid w:val="00033CF2"/>
    <w:rsid w:val="00034C74"/>
    <w:rsid w:val="00035300"/>
    <w:rsid w:val="00035543"/>
    <w:rsid w:val="00036507"/>
    <w:rsid w:val="00036C2B"/>
    <w:rsid w:val="00041ED6"/>
    <w:rsid w:val="00044B05"/>
    <w:rsid w:val="00045D3D"/>
    <w:rsid w:val="00050669"/>
    <w:rsid w:val="000532FB"/>
    <w:rsid w:val="000542E1"/>
    <w:rsid w:val="00054F3B"/>
    <w:rsid w:val="000642D3"/>
    <w:rsid w:val="00067C6F"/>
    <w:rsid w:val="000748E6"/>
    <w:rsid w:val="0007581A"/>
    <w:rsid w:val="000766AF"/>
    <w:rsid w:val="00082641"/>
    <w:rsid w:val="00086607"/>
    <w:rsid w:val="0009346A"/>
    <w:rsid w:val="0009632D"/>
    <w:rsid w:val="000A0C5B"/>
    <w:rsid w:val="000A3835"/>
    <w:rsid w:val="000A7806"/>
    <w:rsid w:val="000B1121"/>
    <w:rsid w:val="000B267C"/>
    <w:rsid w:val="000B28DD"/>
    <w:rsid w:val="000B3542"/>
    <w:rsid w:val="000B45B0"/>
    <w:rsid w:val="000B6BA7"/>
    <w:rsid w:val="000C4EF8"/>
    <w:rsid w:val="000D038B"/>
    <w:rsid w:val="000D4214"/>
    <w:rsid w:val="000D4AB1"/>
    <w:rsid w:val="000D5FA2"/>
    <w:rsid w:val="000D7DB3"/>
    <w:rsid w:val="000E1AC8"/>
    <w:rsid w:val="000E54D8"/>
    <w:rsid w:val="000F1156"/>
    <w:rsid w:val="000F2619"/>
    <w:rsid w:val="000F3446"/>
    <w:rsid w:val="000F3FFE"/>
    <w:rsid w:val="000F54D7"/>
    <w:rsid w:val="000F7AEE"/>
    <w:rsid w:val="001014CA"/>
    <w:rsid w:val="00101AFF"/>
    <w:rsid w:val="0010223F"/>
    <w:rsid w:val="00110E86"/>
    <w:rsid w:val="00111F15"/>
    <w:rsid w:val="00112323"/>
    <w:rsid w:val="00116EEA"/>
    <w:rsid w:val="00117E7E"/>
    <w:rsid w:val="00120274"/>
    <w:rsid w:val="00130953"/>
    <w:rsid w:val="00131CEF"/>
    <w:rsid w:val="001348DA"/>
    <w:rsid w:val="00134BE4"/>
    <w:rsid w:val="00137409"/>
    <w:rsid w:val="00137EB9"/>
    <w:rsid w:val="001407A0"/>
    <w:rsid w:val="00140E2C"/>
    <w:rsid w:val="00145524"/>
    <w:rsid w:val="00147174"/>
    <w:rsid w:val="001502A0"/>
    <w:rsid w:val="00152FA1"/>
    <w:rsid w:val="0016199D"/>
    <w:rsid w:val="00161E01"/>
    <w:rsid w:val="001628E3"/>
    <w:rsid w:val="001644F0"/>
    <w:rsid w:val="00167C0D"/>
    <w:rsid w:val="00175BE1"/>
    <w:rsid w:val="00190D9C"/>
    <w:rsid w:val="001911C7"/>
    <w:rsid w:val="00191553"/>
    <w:rsid w:val="00191F99"/>
    <w:rsid w:val="00192BE2"/>
    <w:rsid w:val="00193266"/>
    <w:rsid w:val="00196106"/>
    <w:rsid w:val="00196CDE"/>
    <w:rsid w:val="00197A94"/>
    <w:rsid w:val="001A3A14"/>
    <w:rsid w:val="001A4D0A"/>
    <w:rsid w:val="001A6FA1"/>
    <w:rsid w:val="001B113D"/>
    <w:rsid w:val="001B2189"/>
    <w:rsid w:val="001B22C5"/>
    <w:rsid w:val="001C27CA"/>
    <w:rsid w:val="001C46B1"/>
    <w:rsid w:val="001C7518"/>
    <w:rsid w:val="001D2BA9"/>
    <w:rsid w:val="001D5C20"/>
    <w:rsid w:val="001D5C91"/>
    <w:rsid w:val="001E1175"/>
    <w:rsid w:val="001E19A5"/>
    <w:rsid w:val="001E29B6"/>
    <w:rsid w:val="001E4800"/>
    <w:rsid w:val="001E5EB5"/>
    <w:rsid w:val="001E6A8C"/>
    <w:rsid w:val="001F042F"/>
    <w:rsid w:val="001F3DB8"/>
    <w:rsid w:val="00200504"/>
    <w:rsid w:val="0020307E"/>
    <w:rsid w:val="00203385"/>
    <w:rsid w:val="002057AA"/>
    <w:rsid w:val="0020645B"/>
    <w:rsid w:val="00212C01"/>
    <w:rsid w:val="00223BAC"/>
    <w:rsid w:val="002255C6"/>
    <w:rsid w:val="00226755"/>
    <w:rsid w:val="002278C7"/>
    <w:rsid w:val="002342F6"/>
    <w:rsid w:val="002359A1"/>
    <w:rsid w:val="00236CB8"/>
    <w:rsid w:val="0024234E"/>
    <w:rsid w:val="00243725"/>
    <w:rsid w:val="00250286"/>
    <w:rsid w:val="00254017"/>
    <w:rsid w:val="0025450C"/>
    <w:rsid w:val="0025690E"/>
    <w:rsid w:val="002571E3"/>
    <w:rsid w:val="002603EB"/>
    <w:rsid w:val="00260A27"/>
    <w:rsid w:val="002618C7"/>
    <w:rsid w:val="00261C73"/>
    <w:rsid w:val="00261D9E"/>
    <w:rsid w:val="00263422"/>
    <w:rsid w:val="00265D40"/>
    <w:rsid w:val="00266C24"/>
    <w:rsid w:val="00267564"/>
    <w:rsid w:val="002707B2"/>
    <w:rsid w:val="00270AD7"/>
    <w:rsid w:val="002723AD"/>
    <w:rsid w:val="00273543"/>
    <w:rsid w:val="002736E0"/>
    <w:rsid w:val="00276B9E"/>
    <w:rsid w:val="00282B8C"/>
    <w:rsid w:val="00283120"/>
    <w:rsid w:val="00284101"/>
    <w:rsid w:val="00285DF7"/>
    <w:rsid w:val="00287E79"/>
    <w:rsid w:val="002938E1"/>
    <w:rsid w:val="00295130"/>
    <w:rsid w:val="002A2315"/>
    <w:rsid w:val="002A5598"/>
    <w:rsid w:val="002A58AC"/>
    <w:rsid w:val="002B6003"/>
    <w:rsid w:val="002D38D3"/>
    <w:rsid w:val="002D53F5"/>
    <w:rsid w:val="002D5B70"/>
    <w:rsid w:val="002D7067"/>
    <w:rsid w:val="002D7124"/>
    <w:rsid w:val="002D798D"/>
    <w:rsid w:val="002E2557"/>
    <w:rsid w:val="002E3302"/>
    <w:rsid w:val="002F03C5"/>
    <w:rsid w:val="002F0DD1"/>
    <w:rsid w:val="002F1F38"/>
    <w:rsid w:val="002F2732"/>
    <w:rsid w:val="002F442A"/>
    <w:rsid w:val="002F499C"/>
    <w:rsid w:val="002F7F6A"/>
    <w:rsid w:val="00301322"/>
    <w:rsid w:val="003026D0"/>
    <w:rsid w:val="00306B03"/>
    <w:rsid w:val="00312DE5"/>
    <w:rsid w:val="00320DA7"/>
    <w:rsid w:val="0032420C"/>
    <w:rsid w:val="00331F32"/>
    <w:rsid w:val="0033232B"/>
    <w:rsid w:val="00333DC3"/>
    <w:rsid w:val="003377FB"/>
    <w:rsid w:val="00341F08"/>
    <w:rsid w:val="003441D6"/>
    <w:rsid w:val="00351473"/>
    <w:rsid w:val="00352721"/>
    <w:rsid w:val="0035338B"/>
    <w:rsid w:val="00353FCB"/>
    <w:rsid w:val="00355EE5"/>
    <w:rsid w:val="003617E8"/>
    <w:rsid w:val="00363F38"/>
    <w:rsid w:val="00364D1F"/>
    <w:rsid w:val="00364E37"/>
    <w:rsid w:val="00365977"/>
    <w:rsid w:val="00365A3F"/>
    <w:rsid w:val="00365E9A"/>
    <w:rsid w:val="003660D8"/>
    <w:rsid w:val="003673B1"/>
    <w:rsid w:val="00367A61"/>
    <w:rsid w:val="003713EC"/>
    <w:rsid w:val="0037180F"/>
    <w:rsid w:val="003743C9"/>
    <w:rsid w:val="00383157"/>
    <w:rsid w:val="003843F7"/>
    <w:rsid w:val="0038492E"/>
    <w:rsid w:val="003862A5"/>
    <w:rsid w:val="003907E2"/>
    <w:rsid w:val="003911C6"/>
    <w:rsid w:val="00392D3C"/>
    <w:rsid w:val="003969F5"/>
    <w:rsid w:val="00396B4A"/>
    <w:rsid w:val="003975B4"/>
    <w:rsid w:val="003A219D"/>
    <w:rsid w:val="003A2394"/>
    <w:rsid w:val="003A243C"/>
    <w:rsid w:val="003A498B"/>
    <w:rsid w:val="003A4C96"/>
    <w:rsid w:val="003A7E2D"/>
    <w:rsid w:val="003B1228"/>
    <w:rsid w:val="003B242A"/>
    <w:rsid w:val="003B4607"/>
    <w:rsid w:val="003C41B4"/>
    <w:rsid w:val="003C47F9"/>
    <w:rsid w:val="003C4A6A"/>
    <w:rsid w:val="003C647A"/>
    <w:rsid w:val="003D0D70"/>
    <w:rsid w:val="003E6319"/>
    <w:rsid w:val="003F0152"/>
    <w:rsid w:val="003F4103"/>
    <w:rsid w:val="003F43D4"/>
    <w:rsid w:val="003F4C07"/>
    <w:rsid w:val="003F6712"/>
    <w:rsid w:val="00401754"/>
    <w:rsid w:val="00402978"/>
    <w:rsid w:val="00402EFE"/>
    <w:rsid w:val="00404171"/>
    <w:rsid w:val="00404E16"/>
    <w:rsid w:val="0040672C"/>
    <w:rsid w:val="00410F9C"/>
    <w:rsid w:val="004113F0"/>
    <w:rsid w:val="004144FE"/>
    <w:rsid w:val="0041750F"/>
    <w:rsid w:val="00417738"/>
    <w:rsid w:val="00420452"/>
    <w:rsid w:val="0042161B"/>
    <w:rsid w:val="00423D34"/>
    <w:rsid w:val="004253BC"/>
    <w:rsid w:val="00425BDD"/>
    <w:rsid w:val="00425F9C"/>
    <w:rsid w:val="00431EFA"/>
    <w:rsid w:val="0043413D"/>
    <w:rsid w:val="00435E25"/>
    <w:rsid w:val="00436320"/>
    <w:rsid w:val="004373B0"/>
    <w:rsid w:val="00443E06"/>
    <w:rsid w:val="0044444B"/>
    <w:rsid w:val="0044623E"/>
    <w:rsid w:val="004469D9"/>
    <w:rsid w:val="004527CB"/>
    <w:rsid w:val="00453563"/>
    <w:rsid w:val="00457896"/>
    <w:rsid w:val="004619A6"/>
    <w:rsid w:val="00462165"/>
    <w:rsid w:val="004622D7"/>
    <w:rsid w:val="0046538D"/>
    <w:rsid w:val="00465A62"/>
    <w:rsid w:val="00466246"/>
    <w:rsid w:val="00472158"/>
    <w:rsid w:val="00472431"/>
    <w:rsid w:val="0047591A"/>
    <w:rsid w:val="00475BE3"/>
    <w:rsid w:val="004842BD"/>
    <w:rsid w:val="00493263"/>
    <w:rsid w:val="00497988"/>
    <w:rsid w:val="004A3CF7"/>
    <w:rsid w:val="004A3E59"/>
    <w:rsid w:val="004A4A17"/>
    <w:rsid w:val="004B12AC"/>
    <w:rsid w:val="004B1670"/>
    <w:rsid w:val="004B3F8C"/>
    <w:rsid w:val="004B66D4"/>
    <w:rsid w:val="004C5146"/>
    <w:rsid w:val="004C602A"/>
    <w:rsid w:val="004D1D2F"/>
    <w:rsid w:val="004D263D"/>
    <w:rsid w:val="004D2F53"/>
    <w:rsid w:val="004D6594"/>
    <w:rsid w:val="004D662B"/>
    <w:rsid w:val="004D688D"/>
    <w:rsid w:val="004D72BC"/>
    <w:rsid w:val="004E0095"/>
    <w:rsid w:val="004E00DA"/>
    <w:rsid w:val="004E15AA"/>
    <w:rsid w:val="004E1D14"/>
    <w:rsid w:val="004E5EAF"/>
    <w:rsid w:val="004F03F7"/>
    <w:rsid w:val="004F204E"/>
    <w:rsid w:val="004F5584"/>
    <w:rsid w:val="004F5678"/>
    <w:rsid w:val="00500610"/>
    <w:rsid w:val="00500B05"/>
    <w:rsid w:val="00503837"/>
    <w:rsid w:val="005133C2"/>
    <w:rsid w:val="00513E2B"/>
    <w:rsid w:val="00516199"/>
    <w:rsid w:val="005162FC"/>
    <w:rsid w:val="00523F77"/>
    <w:rsid w:val="00532499"/>
    <w:rsid w:val="0053344B"/>
    <w:rsid w:val="005435E4"/>
    <w:rsid w:val="00543A26"/>
    <w:rsid w:val="0054403D"/>
    <w:rsid w:val="00546275"/>
    <w:rsid w:val="0055191A"/>
    <w:rsid w:val="00552B95"/>
    <w:rsid w:val="00556B6B"/>
    <w:rsid w:val="00557D67"/>
    <w:rsid w:val="0056162B"/>
    <w:rsid w:val="005619E0"/>
    <w:rsid w:val="00561DD5"/>
    <w:rsid w:val="005627AA"/>
    <w:rsid w:val="00564D9E"/>
    <w:rsid w:val="005672BB"/>
    <w:rsid w:val="00567940"/>
    <w:rsid w:val="005723E1"/>
    <w:rsid w:val="0057264D"/>
    <w:rsid w:val="00573360"/>
    <w:rsid w:val="005733EB"/>
    <w:rsid w:val="00576C88"/>
    <w:rsid w:val="00582A82"/>
    <w:rsid w:val="00582FA8"/>
    <w:rsid w:val="00583B58"/>
    <w:rsid w:val="00584F09"/>
    <w:rsid w:val="00592314"/>
    <w:rsid w:val="005960FA"/>
    <w:rsid w:val="00596ACA"/>
    <w:rsid w:val="00597412"/>
    <w:rsid w:val="005A4722"/>
    <w:rsid w:val="005A4873"/>
    <w:rsid w:val="005A6D28"/>
    <w:rsid w:val="005A79D3"/>
    <w:rsid w:val="005B3D0A"/>
    <w:rsid w:val="005B519B"/>
    <w:rsid w:val="005B77CA"/>
    <w:rsid w:val="005C0724"/>
    <w:rsid w:val="005C15A8"/>
    <w:rsid w:val="005C15CE"/>
    <w:rsid w:val="005C2705"/>
    <w:rsid w:val="005D3F5E"/>
    <w:rsid w:val="005E0285"/>
    <w:rsid w:val="005E36EB"/>
    <w:rsid w:val="005E399A"/>
    <w:rsid w:val="005E76C7"/>
    <w:rsid w:val="005F0D3A"/>
    <w:rsid w:val="005F0D75"/>
    <w:rsid w:val="005F3704"/>
    <w:rsid w:val="005F4866"/>
    <w:rsid w:val="00602AE4"/>
    <w:rsid w:val="00603679"/>
    <w:rsid w:val="00611AFC"/>
    <w:rsid w:val="00612366"/>
    <w:rsid w:val="00615019"/>
    <w:rsid w:val="00617D10"/>
    <w:rsid w:val="006263C6"/>
    <w:rsid w:val="00627F18"/>
    <w:rsid w:val="00631363"/>
    <w:rsid w:val="006328FB"/>
    <w:rsid w:val="0063327C"/>
    <w:rsid w:val="0063488C"/>
    <w:rsid w:val="00635F9D"/>
    <w:rsid w:val="00645882"/>
    <w:rsid w:val="00647AB0"/>
    <w:rsid w:val="0065112B"/>
    <w:rsid w:val="00651758"/>
    <w:rsid w:val="006519E0"/>
    <w:rsid w:val="006522AC"/>
    <w:rsid w:val="00652350"/>
    <w:rsid w:val="00652609"/>
    <w:rsid w:val="00653C50"/>
    <w:rsid w:val="00657076"/>
    <w:rsid w:val="00661EC3"/>
    <w:rsid w:val="0066354D"/>
    <w:rsid w:val="006644DF"/>
    <w:rsid w:val="00664A60"/>
    <w:rsid w:val="00666DE4"/>
    <w:rsid w:val="00667E3D"/>
    <w:rsid w:val="00671C76"/>
    <w:rsid w:val="00676E09"/>
    <w:rsid w:val="00681AB3"/>
    <w:rsid w:val="006966B7"/>
    <w:rsid w:val="0069770E"/>
    <w:rsid w:val="006A19B9"/>
    <w:rsid w:val="006A6A21"/>
    <w:rsid w:val="006A6A7B"/>
    <w:rsid w:val="006A7DFB"/>
    <w:rsid w:val="006B17DC"/>
    <w:rsid w:val="006B54D7"/>
    <w:rsid w:val="006B5DD2"/>
    <w:rsid w:val="006B6027"/>
    <w:rsid w:val="006B66B4"/>
    <w:rsid w:val="006C264F"/>
    <w:rsid w:val="006C31E0"/>
    <w:rsid w:val="006C41E7"/>
    <w:rsid w:val="006C4CC3"/>
    <w:rsid w:val="006C6075"/>
    <w:rsid w:val="006C630F"/>
    <w:rsid w:val="006D2650"/>
    <w:rsid w:val="006D5CE1"/>
    <w:rsid w:val="006E01E1"/>
    <w:rsid w:val="006E4D5A"/>
    <w:rsid w:val="006E58A4"/>
    <w:rsid w:val="006E6894"/>
    <w:rsid w:val="006E6ED6"/>
    <w:rsid w:val="006F1328"/>
    <w:rsid w:val="006F24B9"/>
    <w:rsid w:val="006F2E67"/>
    <w:rsid w:val="006F315D"/>
    <w:rsid w:val="006F4388"/>
    <w:rsid w:val="006F5F73"/>
    <w:rsid w:val="0070028C"/>
    <w:rsid w:val="00702693"/>
    <w:rsid w:val="0071163E"/>
    <w:rsid w:val="00715CE8"/>
    <w:rsid w:val="00717790"/>
    <w:rsid w:val="00726B6A"/>
    <w:rsid w:val="0072732E"/>
    <w:rsid w:val="007279AF"/>
    <w:rsid w:val="00727BE4"/>
    <w:rsid w:val="0073083C"/>
    <w:rsid w:val="00731DFD"/>
    <w:rsid w:val="00742986"/>
    <w:rsid w:val="007504AB"/>
    <w:rsid w:val="0075077D"/>
    <w:rsid w:val="00752644"/>
    <w:rsid w:val="0075298B"/>
    <w:rsid w:val="00755691"/>
    <w:rsid w:val="00756A0A"/>
    <w:rsid w:val="00760285"/>
    <w:rsid w:val="00763411"/>
    <w:rsid w:val="007644A2"/>
    <w:rsid w:val="0076476B"/>
    <w:rsid w:val="00770454"/>
    <w:rsid w:val="00771098"/>
    <w:rsid w:val="007725F4"/>
    <w:rsid w:val="00773E28"/>
    <w:rsid w:val="00783045"/>
    <w:rsid w:val="00792171"/>
    <w:rsid w:val="00792D66"/>
    <w:rsid w:val="00795015"/>
    <w:rsid w:val="007A4FEB"/>
    <w:rsid w:val="007A5DA2"/>
    <w:rsid w:val="007B2536"/>
    <w:rsid w:val="007B4D9C"/>
    <w:rsid w:val="007B529A"/>
    <w:rsid w:val="007B6BC4"/>
    <w:rsid w:val="007C11FB"/>
    <w:rsid w:val="007C4722"/>
    <w:rsid w:val="007C4F54"/>
    <w:rsid w:val="007C5FB1"/>
    <w:rsid w:val="007D0F5F"/>
    <w:rsid w:val="007D2721"/>
    <w:rsid w:val="007D347C"/>
    <w:rsid w:val="007D3A49"/>
    <w:rsid w:val="007D4B35"/>
    <w:rsid w:val="007E0C9F"/>
    <w:rsid w:val="007E2463"/>
    <w:rsid w:val="007E5F10"/>
    <w:rsid w:val="007E6A8B"/>
    <w:rsid w:val="007E7C15"/>
    <w:rsid w:val="007F277D"/>
    <w:rsid w:val="00800CC4"/>
    <w:rsid w:val="00811514"/>
    <w:rsid w:val="008127D5"/>
    <w:rsid w:val="00812B6C"/>
    <w:rsid w:val="00814D46"/>
    <w:rsid w:val="00815351"/>
    <w:rsid w:val="008162F5"/>
    <w:rsid w:val="008165E5"/>
    <w:rsid w:val="00816B08"/>
    <w:rsid w:val="0082114B"/>
    <w:rsid w:val="00825153"/>
    <w:rsid w:val="00825CF1"/>
    <w:rsid w:val="008264DF"/>
    <w:rsid w:val="00831EC2"/>
    <w:rsid w:val="00835711"/>
    <w:rsid w:val="008359EE"/>
    <w:rsid w:val="00835A4B"/>
    <w:rsid w:val="008368AD"/>
    <w:rsid w:val="00836FAF"/>
    <w:rsid w:val="008440FB"/>
    <w:rsid w:val="00846CBD"/>
    <w:rsid w:val="00847DE0"/>
    <w:rsid w:val="00847FF2"/>
    <w:rsid w:val="00850117"/>
    <w:rsid w:val="00855A4D"/>
    <w:rsid w:val="00856356"/>
    <w:rsid w:val="00860840"/>
    <w:rsid w:val="00861B1D"/>
    <w:rsid w:val="00865E4F"/>
    <w:rsid w:val="00870889"/>
    <w:rsid w:val="00871DEA"/>
    <w:rsid w:val="00871ED2"/>
    <w:rsid w:val="008720A0"/>
    <w:rsid w:val="008751A8"/>
    <w:rsid w:val="00880949"/>
    <w:rsid w:val="008809BD"/>
    <w:rsid w:val="00880FE1"/>
    <w:rsid w:val="00882E47"/>
    <w:rsid w:val="00882F7A"/>
    <w:rsid w:val="0088375B"/>
    <w:rsid w:val="0088498E"/>
    <w:rsid w:val="00890E85"/>
    <w:rsid w:val="00892B87"/>
    <w:rsid w:val="008A002E"/>
    <w:rsid w:val="008A2B83"/>
    <w:rsid w:val="008A38A6"/>
    <w:rsid w:val="008A5FC2"/>
    <w:rsid w:val="008A6A0E"/>
    <w:rsid w:val="008A75DA"/>
    <w:rsid w:val="008B0AE0"/>
    <w:rsid w:val="008B1EE1"/>
    <w:rsid w:val="008B29E0"/>
    <w:rsid w:val="008B6D1A"/>
    <w:rsid w:val="008C08BE"/>
    <w:rsid w:val="008C12B4"/>
    <w:rsid w:val="008C12C2"/>
    <w:rsid w:val="008C19F4"/>
    <w:rsid w:val="008C1D49"/>
    <w:rsid w:val="008C2C60"/>
    <w:rsid w:val="008C44F0"/>
    <w:rsid w:val="008C4740"/>
    <w:rsid w:val="008C5383"/>
    <w:rsid w:val="008D282D"/>
    <w:rsid w:val="008D44F2"/>
    <w:rsid w:val="008D6D8E"/>
    <w:rsid w:val="008D7D7C"/>
    <w:rsid w:val="008E3D2D"/>
    <w:rsid w:val="008E6598"/>
    <w:rsid w:val="008F1FB5"/>
    <w:rsid w:val="008F211E"/>
    <w:rsid w:val="00902A7F"/>
    <w:rsid w:val="00904183"/>
    <w:rsid w:val="00911A02"/>
    <w:rsid w:val="00911F9F"/>
    <w:rsid w:val="009159C7"/>
    <w:rsid w:val="009167AA"/>
    <w:rsid w:val="009214CA"/>
    <w:rsid w:val="00922913"/>
    <w:rsid w:val="00922A22"/>
    <w:rsid w:val="00924032"/>
    <w:rsid w:val="00926DF5"/>
    <w:rsid w:val="00932435"/>
    <w:rsid w:val="0093289E"/>
    <w:rsid w:val="009428FE"/>
    <w:rsid w:val="0094344E"/>
    <w:rsid w:val="00954952"/>
    <w:rsid w:val="009602A2"/>
    <w:rsid w:val="00960512"/>
    <w:rsid w:val="009621A2"/>
    <w:rsid w:val="00963435"/>
    <w:rsid w:val="00964042"/>
    <w:rsid w:val="00973881"/>
    <w:rsid w:val="00976DF7"/>
    <w:rsid w:val="00980023"/>
    <w:rsid w:val="0098034E"/>
    <w:rsid w:val="00980982"/>
    <w:rsid w:val="00980A00"/>
    <w:rsid w:val="009812F9"/>
    <w:rsid w:val="009825BD"/>
    <w:rsid w:val="0098286D"/>
    <w:rsid w:val="00982AD1"/>
    <w:rsid w:val="00982C06"/>
    <w:rsid w:val="00985276"/>
    <w:rsid w:val="0098592C"/>
    <w:rsid w:val="00987D1F"/>
    <w:rsid w:val="00987EB3"/>
    <w:rsid w:val="00990B6E"/>
    <w:rsid w:val="009931D6"/>
    <w:rsid w:val="00993CD0"/>
    <w:rsid w:val="00993E48"/>
    <w:rsid w:val="00994870"/>
    <w:rsid w:val="009975FE"/>
    <w:rsid w:val="009A102C"/>
    <w:rsid w:val="009B3C19"/>
    <w:rsid w:val="009B7D22"/>
    <w:rsid w:val="009C2532"/>
    <w:rsid w:val="009C303B"/>
    <w:rsid w:val="009C36A8"/>
    <w:rsid w:val="009C704B"/>
    <w:rsid w:val="009D33E0"/>
    <w:rsid w:val="009D3839"/>
    <w:rsid w:val="009D720B"/>
    <w:rsid w:val="009D7A2B"/>
    <w:rsid w:val="009E16B2"/>
    <w:rsid w:val="009E2E11"/>
    <w:rsid w:val="009E37E6"/>
    <w:rsid w:val="009E3BE1"/>
    <w:rsid w:val="009E43EC"/>
    <w:rsid w:val="009E6DE5"/>
    <w:rsid w:val="009F488E"/>
    <w:rsid w:val="009F5489"/>
    <w:rsid w:val="009F744B"/>
    <w:rsid w:val="00A03262"/>
    <w:rsid w:val="00A0488F"/>
    <w:rsid w:val="00A12973"/>
    <w:rsid w:val="00A12BBB"/>
    <w:rsid w:val="00A130CB"/>
    <w:rsid w:val="00A16810"/>
    <w:rsid w:val="00A234C4"/>
    <w:rsid w:val="00A240D2"/>
    <w:rsid w:val="00A245D7"/>
    <w:rsid w:val="00A277E7"/>
    <w:rsid w:val="00A314E3"/>
    <w:rsid w:val="00A325AF"/>
    <w:rsid w:val="00A337DB"/>
    <w:rsid w:val="00A3402D"/>
    <w:rsid w:val="00A34C16"/>
    <w:rsid w:val="00A36381"/>
    <w:rsid w:val="00A3764F"/>
    <w:rsid w:val="00A40154"/>
    <w:rsid w:val="00A44DBE"/>
    <w:rsid w:val="00A44DD3"/>
    <w:rsid w:val="00A4567D"/>
    <w:rsid w:val="00A47368"/>
    <w:rsid w:val="00A477EE"/>
    <w:rsid w:val="00A53522"/>
    <w:rsid w:val="00A54199"/>
    <w:rsid w:val="00A54657"/>
    <w:rsid w:val="00A5470C"/>
    <w:rsid w:val="00A547A8"/>
    <w:rsid w:val="00A61A13"/>
    <w:rsid w:val="00A643CC"/>
    <w:rsid w:val="00A6503B"/>
    <w:rsid w:val="00A66354"/>
    <w:rsid w:val="00A7082C"/>
    <w:rsid w:val="00A709E2"/>
    <w:rsid w:val="00A756AB"/>
    <w:rsid w:val="00A81AFC"/>
    <w:rsid w:val="00A85F2F"/>
    <w:rsid w:val="00AA1DF6"/>
    <w:rsid w:val="00AA772A"/>
    <w:rsid w:val="00AB3B53"/>
    <w:rsid w:val="00AB470E"/>
    <w:rsid w:val="00AB6170"/>
    <w:rsid w:val="00AB699E"/>
    <w:rsid w:val="00AC0D38"/>
    <w:rsid w:val="00AC2CDD"/>
    <w:rsid w:val="00AC49E9"/>
    <w:rsid w:val="00AD12BC"/>
    <w:rsid w:val="00AD5BE2"/>
    <w:rsid w:val="00AD7265"/>
    <w:rsid w:val="00AE0A46"/>
    <w:rsid w:val="00AE2D49"/>
    <w:rsid w:val="00AE4B8D"/>
    <w:rsid w:val="00AF0EF2"/>
    <w:rsid w:val="00AF6FC6"/>
    <w:rsid w:val="00B00F01"/>
    <w:rsid w:val="00B026FE"/>
    <w:rsid w:val="00B0395A"/>
    <w:rsid w:val="00B1004B"/>
    <w:rsid w:val="00B13919"/>
    <w:rsid w:val="00B1464C"/>
    <w:rsid w:val="00B15F6E"/>
    <w:rsid w:val="00B201A7"/>
    <w:rsid w:val="00B21B2B"/>
    <w:rsid w:val="00B22FC4"/>
    <w:rsid w:val="00B247B2"/>
    <w:rsid w:val="00B25523"/>
    <w:rsid w:val="00B26188"/>
    <w:rsid w:val="00B307E1"/>
    <w:rsid w:val="00B30AB4"/>
    <w:rsid w:val="00B31102"/>
    <w:rsid w:val="00B3226B"/>
    <w:rsid w:val="00B348BA"/>
    <w:rsid w:val="00B358BF"/>
    <w:rsid w:val="00B37001"/>
    <w:rsid w:val="00B42577"/>
    <w:rsid w:val="00B50751"/>
    <w:rsid w:val="00B50F25"/>
    <w:rsid w:val="00B62504"/>
    <w:rsid w:val="00B63342"/>
    <w:rsid w:val="00B63F85"/>
    <w:rsid w:val="00B66F58"/>
    <w:rsid w:val="00B70F6F"/>
    <w:rsid w:val="00B734AA"/>
    <w:rsid w:val="00B74283"/>
    <w:rsid w:val="00B7528C"/>
    <w:rsid w:val="00B75882"/>
    <w:rsid w:val="00B77B7F"/>
    <w:rsid w:val="00B8146F"/>
    <w:rsid w:val="00B83A1F"/>
    <w:rsid w:val="00B8419B"/>
    <w:rsid w:val="00B856D9"/>
    <w:rsid w:val="00B9033C"/>
    <w:rsid w:val="00B90EF3"/>
    <w:rsid w:val="00B91CF6"/>
    <w:rsid w:val="00B94A82"/>
    <w:rsid w:val="00B96C70"/>
    <w:rsid w:val="00B97511"/>
    <w:rsid w:val="00BA44FA"/>
    <w:rsid w:val="00BA6372"/>
    <w:rsid w:val="00BA67B2"/>
    <w:rsid w:val="00BA7F2C"/>
    <w:rsid w:val="00BB462E"/>
    <w:rsid w:val="00BB5AA7"/>
    <w:rsid w:val="00BC033A"/>
    <w:rsid w:val="00BC26BF"/>
    <w:rsid w:val="00BC6B91"/>
    <w:rsid w:val="00BD04E3"/>
    <w:rsid w:val="00BD179A"/>
    <w:rsid w:val="00BD6F49"/>
    <w:rsid w:val="00BD7CF9"/>
    <w:rsid w:val="00BE0D86"/>
    <w:rsid w:val="00BE3348"/>
    <w:rsid w:val="00BE5064"/>
    <w:rsid w:val="00BF295B"/>
    <w:rsid w:val="00C02D70"/>
    <w:rsid w:val="00C05E77"/>
    <w:rsid w:val="00C122D4"/>
    <w:rsid w:val="00C12AF9"/>
    <w:rsid w:val="00C13862"/>
    <w:rsid w:val="00C15A77"/>
    <w:rsid w:val="00C15A8C"/>
    <w:rsid w:val="00C16893"/>
    <w:rsid w:val="00C234CE"/>
    <w:rsid w:val="00C32619"/>
    <w:rsid w:val="00C4014A"/>
    <w:rsid w:val="00C42391"/>
    <w:rsid w:val="00C42A62"/>
    <w:rsid w:val="00C43799"/>
    <w:rsid w:val="00C46328"/>
    <w:rsid w:val="00C46D01"/>
    <w:rsid w:val="00C47CA4"/>
    <w:rsid w:val="00C6315B"/>
    <w:rsid w:val="00C71547"/>
    <w:rsid w:val="00C73262"/>
    <w:rsid w:val="00C74C2D"/>
    <w:rsid w:val="00C84B8B"/>
    <w:rsid w:val="00C87534"/>
    <w:rsid w:val="00C9438C"/>
    <w:rsid w:val="00CA08A1"/>
    <w:rsid w:val="00CA3750"/>
    <w:rsid w:val="00CA3C42"/>
    <w:rsid w:val="00CA632E"/>
    <w:rsid w:val="00CA6A73"/>
    <w:rsid w:val="00CB0C0C"/>
    <w:rsid w:val="00CB1B70"/>
    <w:rsid w:val="00CC1BB9"/>
    <w:rsid w:val="00CC3A1E"/>
    <w:rsid w:val="00CC5850"/>
    <w:rsid w:val="00CC6475"/>
    <w:rsid w:val="00CC6B06"/>
    <w:rsid w:val="00CD0F11"/>
    <w:rsid w:val="00CD3151"/>
    <w:rsid w:val="00CD5864"/>
    <w:rsid w:val="00CD6A43"/>
    <w:rsid w:val="00CE3152"/>
    <w:rsid w:val="00CE4A22"/>
    <w:rsid w:val="00CE5FCE"/>
    <w:rsid w:val="00CF667D"/>
    <w:rsid w:val="00D0189E"/>
    <w:rsid w:val="00D02D58"/>
    <w:rsid w:val="00D06182"/>
    <w:rsid w:val="00D10519"/>
    <w:rsid w:val="00D11162"/>
    <w:rsid w:val="00D11477"/>
    <w:rsid w:val="00D1372A"/>
    <w:rsid w:val="00D1575B"/>
    <w:rsid w:val="00D17E4E"/>
    <w:rsid w:val="00D17F1B"/>
    <w:rsid w:val="00D23D6B"/>
    <w:rsid w:val="00D24AFE"/>
    <w:rsid w:val="00D27BD8"/>
    <w:rsid w:val="00D32D32"/>
    <w:rsid w:val="00D33EE8"/>
    <w:rsid w:val="00D3446D"/>
    <w:rsid w:val="00D41E72"/>
    <w:rsid w:val="00D41EA1"/>
    <w:rsid w:val="00D42BF2"/>
    <w:rsid w:val="00D444F5"/>
    <w:rsid w:val="00D45FB8"/>
    <w:rsid w:val="00D47484"/>
    <w:rsid w:val="00D54599"/>
    <w:rsid w:val="00D61E0F"/>
    <w:rsid w:val="00D6615F"/>
    <w:rsid w:val="00D66DE1"/>
    <w:rsid w:val="00D76380"/>
    <w:rsid w:val="00D82527"/>
    <w:rsid w:val="00D82603"/>
    <w:rsid w:val="00D85E89"/>
    <w:rsid w:val="00D879D4"/>
    <w:rsid w:val="00D93973"/>
    <w:rsid w:val="00D94927"/>
    <w:rsid w:val="00D97BFD"/>
    <w:rsid w:val="00DA2553"/>
    <w:rsid w:val="00DA43A3"/>
    <w:rsid w:val="00DA691D"/>
    <w:rsid w:val="00DA7893"/>
    <w:rsid w:val="00DB2A54"/>
    <w:rsid w:val="00DB2F11"/>
    <w:rsid w:val="00DB5EFB"/>
    <w:rsid w:val="00DB6B6D"/>
    <w:rsid w:val="00DB71B6"/>
    <w:rsid w:val="00DC0B5E"/>
    <w:rsid w:val="00DC2A8F"/>
    <w:rsid w:val="00DC31FA"/>
    <w:rsid w:val="00DC6D3E"/>
    <w:rsid w:val="00DD2133"/>
    <w:rsid w:val="00DD2E1F"/>
    <w:rsid w:val="00DD358B"/>
    <w:rsid w:val="00DD7915"/>
    <w:rsid w:val="00DE3A13"/>
    <w:rsid w:val="00DF1C28"/>
    <w:rsid w:val="00DF310E"/>
    <w:rsid w:val="00DF3CB1"/>
    <w:rsid w:val="00DF3E56"/>
    <w:rsid w:val="00E041EC"/>
    <w:rsid w:val="00E071B1"/>
    <w:rsid w:val="00E12A1E"/>
    <w:rsid w:val="00E16B66"/>
    <w:rsid w:val="00E22416"/>
    <w:rsid w:val="00E2284B"/>
    <w:rsid w:val="00E241DB"/>
    <w:rsid w:val="00E24CD1"/>
    <w:rsid w:val="00E24E84"/>
    <w:rsid w:val="00E269C2"/>
    <w:rsid w:val="00E270A9"/>
    <w:rsid w:val="00E32FA1"/>
    <w:rsid w:val="00E33170"/>
    <w:rsid w:val="00E41A60"/>
    <w:rsid w:val="00E42B89"/>
    <w:rsid w:val="00E43A83"/>
    <w:rsid w:val="00E43EB3"/>
    <w:rsid w:val="00E4570F"/>
    <w:rsid w:val="00E4707F"/>
    <w:rsid w:val="00E52749"/>
    <w:rsid w:val="00E54BCF"/>
    <w:rsid w:val="00E55411"/>
    <w:rsid w:val="00E561E2"/>
    <w:rsid w:val="00E5691D"/>
    <w:rsid w:val="00E60BB4"/>
    <w:rsid w:val="00E62943"/>
    <w:rsid w:val="00E649BA"/>
    <w:rsid w:val="00E65B6D"/>
    <w:rsid w:val="00E71030"/>
    <w:rsid w:val="00E7324E"/>
    <w:rsid w:val="00E74699"/>
    <w:rsid w:val="00E75147"/>
    <w:rsid w:val="00E77DE9"/>
    <w:rsid w:val="00E813E1"/>
    <w:rsid w:val="00E83ED3"/>
    <w:rsid w:val="00E84CC0"/>
    <w:rsid w:val="00E85E6C"/>
    <w:rsid w:val="00E9007E"/>
    <w:rsid w:val="00EA0451"/>
    <w:rsid w:val="00EA1C4C"/>
    <w:rsid w:val="00EB0854"/>
    <w:rsid w:val="00EB2DFE"/>
    <w:rsid w:val="00EB4997"/>
    <w:rsid w:val="00EB6A20"/>
    <w:rsid w:val="00EC1492"/>
    <w:rsid w:val="00EC16CF"/>
    <w:rsid w:val="00EC1C94"/>
    <w:rsid w:val="00EC1D0F"/>
    <w:rsid w:val="00EC6556"/>
    <w:rsid w:val="00EC6DB7"/>
    <w:rsid w:val="00EC7E50"/>
    <w:rsid w:val="00ED05E6"/>
    <w:rsid w:val="00EE1768"/>
    <w:rsid w:val="00EE2815"/>
    <w:rsid w:val="00EE290C"/>
    <w:rsid w:val="00EE65ED"/>
    <w:rsid w:val="00EE6885"/>
    <w:rsid w:val="00EE7804"/>
    <w:rsid w:val="00EF0DCB"/>
    <w:rsid w:val="00EF2786"/>
    <w:rsid w:val="00EF38F7"/>
    <w:rsid w:val="00EF452F"/>
    <w:rsid w:val="00EF65D4"/>
    <w:rsid w:val="00EF6EA2"/>
    <w:rsid w:val="00F03693"/>
    <w:rsid w:val="00F03CB8"/>
    <w:rsid w:val="00F043DC"/>
    <w:rsid w:val="00F06C44"/>
    <w:rsid w:val="00F070AF"/>
    <w:rsid w:val="00F168E8"/>
    <w:rsid w:val="00F16E3C"/>
    <w:rsid w:val="00F20734"/>
    <w:rsid w:val="00F31151"/>
    <w:rsid w:val="00F33107"/>
    <w:rsid w:val="00F35F8D"/>
    <w:rsid w:val="00F3683B"/>
    <w:rsid w:val="00F43237"/>
    <w:rsid w:val="00F44C47"/>
    <w:rsid w:val="00F47A81"/>
    <w:rsid w:val="00F50E0B"/>
    <w:rsid w:val="00F51DF9"/>
    <w:rsid w:val="00F52212"/>
    <w:rsid w:val="00F53625"/>
    <w:rsid w:val="00F556C9"/>
    <w:rsid w:val="00F577B3"/>
    <w:rsid w:val="00F60A1E"/>
    <w:rsid w:val="00F6606B"/>
    <w:rsid w:val="00F8010F"/>
    <w:rsid w:val="00F8206E"/>
    <w:rsid w:val="00F840D3"/>
    <w:rsid w:val="00F85D7B"/>
    <w:rsid w:val="00F900B9"/>
    <w:rsid w:val="00F9156B"/>
    <w:rsid w:val="00F91BC6"/>
    <w:rsid w:val="00F93023"/>
    <w:rsid w:val="00FA2C7C"/>
    <w:rsid w:val="00FA30AD"/>
    <w:rsid w:val="00FA3483"/>
    <w:rsid w:val="00FA34B3"/>
    <w:rsid w:val="00FB1467"/>
    <w:rsid w:val="00FB5D18"/>
    <w:rsid w:val="00FC0E2D"/>
    <w:rsid w:val="00FC39D7"/>
    <w:rsid w:val="00FC3FB8"/>
    <w:rsid w:val="00FC5DE7"/>
    <w:rsid w:val="00FC6D76"/>
    <w:rsid w:val="00FC71A5"/>
    <w:rsid w:val="00FD5600"/>
    <w:rsid w:val="00FD7DD4"/>
    <w:rsid w:val="00FE02E1"/>
    <w:rsid w:val="00FE30B5"/>
    <w:rsid w:val="00FE50B6"/>
    <w:rsid w:val="00FE6602"/>
    <w:rsid w:val="00FF07BD"/>
    <w:rsid w:val="00FF3567"/>
    <w:rsid w:val="00FF4EF7"/>
    <w:rsid w:val="00FF6987"/>
    <w:rsid w:val="00FF744A"/>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footnote reference"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7BD"/>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FF07BD"/>
    <w:pPr>
      <w:keepNext/>
      <w:outlineLvl w:val="0"/>
    </w:pPr>
    <w:rPr>
      <w:b/>
      <w:sz w:val="26"/>
      <w:szCs w:val="20"/>
    </w:rPr>
  </w:style>
  <w:style w:type="paragraph" w:styleId="Heading2">
    <w:name w:val="heading 2"/>
    <w:aliases w:val="h2 main heading,B Sub/Bold,B Sub/Bold1,B Sub/Bold2,B Sub/Bold11,h2 main heading1,h2 main heading2,B Sub/Bold3,B Sub/Bold12,h2 main heading3,B Sub/Bold4,B Sub/Bold13,Reset numbering"/>
    <w:basedOn w:val="Normal"/>
    <w:link w:val="Heading2Char"/>
    <w:qFormat/>
    <w:rsid w:val="00FF07BD"/>
    <w:pPr>
      <w:spacing w:before="100" w:beforeAutospacing="1" w:after="100" w:afterAutospacing="1"/>
      <w:outlineLvl w:val="1"/>
    </w:pPr>
    <w:rPr>
      <w:b/>
      <w:bCs/>
      <w:sz w:val="36"/>
      <w:szCs w:val="36"/>
    </w:rPr>
  </w:style>
  <w:style w:type="paragraph" w:styleId="Heading3">
    <w:name w:val="heading 3"/>
    <w:aliases w:val="Level 1 - 1"/>
    <w:basedOn w:val="Normal"/>
    <w:next w:val="Normal"/>
    <w:link w:val="Heading3Char"/>
    <w:qFormat/>
    <w:rsid w:val="00FF07B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FF07BD"/>
    <w:pPr>
      <w:keepNext/>
      <w:spacing w:before="120" w:after="120" w:line="288" w:lineRule="auto"/>
      <w:ind w:firstLine="720"/>
      <w:jc w:val="both"/>
      <w:outlineLvl w:val="3"/>
    </w:pPr>
    <w:rPr>
      <w:i/>
      <w:iCs/>
      <w:sz w:val="28"/>
      <w:szCs w:val="20"/>
    </w:rPr>
  </w:style>
  <w:style w:type="paragraph" w:styleId="Heading5">
    <w:name w:val="heading 5"/>
    <w:basedOn w:val="Normal"/>
    <w:next w:val="Normal"/>
    <w:link w:val="Heading5Char"/>
    <w:qFormat/>
    <w:rsid w:val="00FF07BD"/>
    <w:pPr>
      <w:keepNext/>
      <w:spacing w:line="360" w:lineRule="atLeast"/>
      <w:ind w:firstLine="697"/>
      <w:jc w:val="both"/>
      <w:outlineLvl w:val="4"/>
    </w:pPr>
    <w:rPr>
      <w:b/>
      <w:sz w:val="26"/>
    </w:rPr>
  </w:style>
  <w:style w:type="paragraph" w:styleId="Heading6">
    <w:name w:val="heading 6"/>
    <w:basedOn w:val="Normal"/>
    <w:next w:val="Normal"/>
    <w:link w:val="Heading6Char"/>
    <w:qFormat/>
    <w:rsid w:val="00FF07BD"/>
    <w:pPr>
      <w:keepNext/>
      <w:spacing w:line="360" w:lineRule="atLeast"/>
      <w:ind w:firstLine="697"/>
      <w:jc w:val="both"/>
      <w:outlineLvl w:val="5"/>
    </w:pPr>
    <w:rPr>
      <w:b/>
      <w:sz w:val="28"/>
    </w:rPr>
  </w:style>
  <w:style w:type="paragraph" w:styleId="Heading7">
    <w:name w:val="heading 7"/>
    <w:basedOn w:val="Normal"/>
    <w:next w:val="Normal"/>
    <w:link w:val="Heading7Char"/>
    <w:qFormat/>
    <w:rsid w:val="00FF07BD"/>
    <w:pPr>
      <w:spacing w:before="240" w:after="60"/>
      <w:outlineLvl w:val="6"/>
    </w:pPr>
  </w:style>
  <w:style w:type="paragraph" w:styleId="Heading8">
    <w:name w:val="heading 8"/>
    <w:basedOn w:val="Normal"/>
    <w:next w:val="Normal"/>
    <w:link w:val="Heading8Char"/>
    <w:qFormat/>
    <w:rsid w:val="00FF07BD"/>
    <w:pPr>
      <w:spacing w:before="240" w:after="60"/>
      <w:outlineLvl w:val="7"/>
    </w:pPr>
    <w:rPr>
      <w:i/>
      <w:iCs/>
    </w:rPr>
  </w:style>
  <w:style w:type="paragraph" w:styleId="Heading9">
    <w:name w:val="heading 9"/>
    <w:basedOn w:val="Normal"/>
    <w:next w:val="Normal"/>
    <w:link w:val="Heading9Char"/>
    <w:qFormat/>
    <w:rsid w:val="00FF07B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07BD"/>
    <w:rPr>
      <w:rFonts w:ascii="Times New Roman" w:eastAsia="Times New Roman" w:hAnsi="Times New Roman" w:cs="Times New Roman"/>
      <w:b/>
      <w:sz w:val="26"/>
      <w:szCs w:val="20"/>
      <w:lang w:val="en-US"/>
    </w:rPr>
  </w:style>
  <w:style w:type="character" w:customStyle="1" w:styleId="Heading2Char">
    <w:name w:val="Heading 2 Char"/>
    <w:aliases w:val="h2 main heading Char1,B Sub/Bold Char1,B Sub/Bold1 Char1,B Sub/Bold2 Char1,B Sub/Bold11 Char1,h2 main heading1 Char1,h2 main heading2 Char1,B Sub/Bold3 Char1,B Sub/Bold12 Char1,h2 main heading3 Char1,B Sub/Bold4 Char1,B Sub/Bold13 Char1"/>
    <w:basedOn w:val="DefaultParagraphFont"/>
    <w:link w:val="Heading2"/>
    <w:rsid w:val="00FF07BD"/>
    <w:rPr>
      <w:rFonts w:ascii="Times New Roman" w:eastAsia="Times New Roman" w:hAnsi="Times New Roman" w:cs="Times New Roman"/>
      <w:b/>
      <w:bCs/>
      <w:sz w:val="36"/>
      <w:szCs w:val="36"/>
      <w:lang w:val="en-US"/>
    </w:rPr>
  </w:style>
  <w:style w:type="character" w:customStyle="1" w:styleId="Heading3Char">
    <w:name w:val="Heading 3 Char"/>
    <w:aliases w:val="Level 1 - 1 Char"/>
    <w:basedOn w:val="DefaultParagraphFont"/>
    <w:link w:val="Heading3"/>
    <w:rsid w:val="00FF07BD"/>
    <w:rPr>
      <w:rFonts w:ascii="Arial" w:eastAsia="Times New Roman" w:hAnsi="Arial" w:cs="Arial"/>
      <w:b/>
      <w:bCs/>
      <w:sz w:val="26"/>
      <w:szCs w:val="26"/>
      <w:lang w:val="en-US"/>
    </w:rPr>
  </w:style>
  <w:style w:type="character" w:customStyle="1" w:styleId="Heading4Char">
    <w:name w:val="Heading 4 Char"/>
    <w:basedOn w:val="DefaultParagraphFont"/>
    <w:link w:val="Heading4"/>
    <w:rsid w:val="00FF07BD"/>
    <w:rPr>
      <w:rFonts w:ascii="Times New Roman" w:eastAsia="Times New Roman" w:hAnsi="Times New Roman" w:cs="Times New Roman"/>
      <w:i/>
      <w:iCs/>
      <w:sz w:val="28"/>
      <w:szCs w:val="20"/>
      <w:lang w:val="en-US"/>
    </w:rPr>
  </w:style>
  <w:style w:type="character" w:customStyle="1" w:styleId="Heading5Char">
    <w:name w:val="Heading 5 Char"/>
    <w:basedOn w:val="DefaultParagraphFont"/>
    <w:link w:val="Heading5"/>
    <w:rsid w:val="00FF07BD"/>
    <w:rPr>
      <w:rFonts w:ascii="Times New Roman" w:eastAsia="Times New Roman" w:hAnsi="Times New Roman" w:cs="Times New Roman"/>
      <w:b/>
      <w:sz w:val="26"/>
      <w:szCs w:val="24"/>
      <w:lang w:val="en-US"/>
    </w:rPr>
  </w:style>
  <w:style w:type="character" w:customStyle="1" w:styleId="Heading6Char">
    <w:name w:val="Heading 6 Char"/>
    <w:basedOn w:val="DefaultParagraphFont"/>
    <w:link w:val="Heading6"/>
    <w:rsid w:val="00FF07BD"/>
    <w:rPr>
      <w:rFonts w:ascii="Times New Roman" w:eastAsia="Times New Roman" w:hAnsi="Times New Roman" w:cs="Times New Roman"/>
      <w:b/>
      <w:sz w:val="28"/>
      <w:szCs w:val="24"/>
      <w:lang w:val="en-US"/>
    </w:rPr>
  </w:style>
  <w:style w:type="character" w:customStyle="1" w:styleId="Heading7Char">
    <w:name w:val="Heading 7 Char"/>
    <w:basedOn w:val="DefaultParagraphFont"/>
    <w:link w:val="Heading7"/>
    <w:rsid w:val="00FF07BD"/>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rsid w:val="00FF07BD"/>
    <w:rPr>
      <w:rFonts w:ascii="Times New Roman" w:eastAsia="Times New Roman" w:hAnsi="Times New Roman" w:cs="Times New Roman"/>
      <w:i/>
      <w:iCs/>
      <w:sz w:val="24"/>
      <w:szCs w:val="24"/>
      <w:lang w:val="en-US"/>
    </w:rPr>
  </w:style>
  <w:style w:type="character" w:customStyle="1" w:styleId="Heading9Char">
    <w:name w:val="Heading 9 Char"/>
    <w:basedOn w:val="DefaultParagraphFont"/>
    <w:link w:val="Heading9"/>
    <w:rsid w:val="00FF07BD"/>
    <w:rPr>
      <w:rFonts w:ascii="Arial" w:eastAsia="Times New Roman" w:hAnsi="Arial" w:cs="Arial"/>
      <w:lang w:val="en-US"/>
    </w:rPr>
  </w:style>
  <w:style w:type="paragraph" w:customStyle="1" w:styleId="CharCharCharChar">
    <w:name w:val="Char Char Char Char"/>
    <w:basedOn w:val="Normal"/>
    <w:rsid w:val="00FF07BD"/>
    <w:pPr>
      <w:spacing w:before="60" w:after="160" w:line="240" w:lineRule="exact"/>
    </w:pPr>
    <w:rPr>
      <w:rFonts w:ascii="Verdana" w:hAnsi="Verdana" w:cs="Verdana"/>
      <w:color w:val="000000"/>
      <w:sz w:val="20"/>
      <w:szCs w:val="20"/>
    </w:rPr>
  </w:style>
  <w:style w:type="paragraph" w:customStyle="1" w:styleId="Char">
    <w:name w:val="Char"/>
    <w:basedOn w:val="Normal"/>
    <w:rsid w:val="00FF07BD"/>
    <w:pPr>
      <w:spacing w:after="160" w:line="240" w:lineRule="exact"/>
    </w:pPr>
    <w:rPr>
      <w:rFonts w:ascii="Verdana" w:hAnsi="Verdana"/>
      <w:sz w:val="20"/>
      <w:szCs w:val="20"/>
    </w:rPr>
  </w:style>
  <w:style w:type="character" w:customStyle="1" w:styleId="BodyTextIndentChar">
    <w:name w:val="Body Text Indent Char"/>
    <w:basedOn w:val="DefaultParagraphFont"/>
    <w:link w:val="BodyTextIndent"/>
    <w:locked/>
    <w:rsid w:val="00FF07BD"/>
    <w:rPr>
      <w:rFonts w:ascii=".VnTime" w:hAnsi=".VnTime"/>
      <w:sz w:val="28"/>
      <w:lang w:val="en-US"/>
    </w:rPr>
  </w:style>
  <w:style w:type="paragraph" w:styleId="BodyTextIndent">
    <w:name w:val="Body Text Indent"/>
    <w:basedOn w:val="Normal"/>
    <w:link w:val="BodyTextIndentChar"/>
    <w:rsid w:val="00FF07BD"/>
    <w:pPr>
      <w:spacing w:after="120"/>
      <w:ind w:firstLine="720"/>
      <w:jc w:val="both"/>
    </w:pPr>
    <w:rPr>
      <w:rFonts w:ascii=".VnTime" w:eastAsiaTheme="minorHAnsi" w:hAnsi=".VnTime" w:cstheme="minorBidi"/>
      <w:sz w:val="28"/>
      <w:szCs w:val="22"/>
    </w:rPr>
  </w:style>
  <w:style w:type="character" w:customStyle="1" w:styleId="BodyTextIndentChar1">
    <w:name w:val="Body Text Indent Char1"/>
    <w:basedOn w:val="DefaultParagraphFont"/>
    <w:link w:val="BodyTextIndent"/>
    <w:uiPriority w:val="99"/>
    <w:semiHidden/>
    <w:rsid w:val="00FF07BD"/>
    <w:rPr>
      <w:rFonts w:ascii="Times New Roman" w:eastAsia="Times New Roman" w:hAnsi="Times New Roman" w:cs="Times New Roman"/>
      <w:sz w:val="24"/>
      <w:szCs w:val="24"/>
      <w:lang w:val="en-US"/>
    </w:rPr>
  </w:style>
  <w:style w:type="character" w:customStyle="1" w:styleId="CommentSubjectChar">
    <w:name w:val="Comment Subject Char"/>
    <w:basedOn w:val="DefaultParagraphFont"/>
    <w:link w:val="CommentSubject"/>
    <w:semiHidden/>
    <w:rsid w:val="00FF07BD"/>
    <w:rPr>
      <w:rFonts w:ascii=".VnTime" w:eastAsia="Times New Roman" w:hAnsi=".VnTime" w:cs="Times New Roman"/>
      <w:sz w:val="28"/>
      <w:szCs w:val="20"/>
    </w:rPr>
  </w:style>
  <w:style w:type="paragraph" w:styleId="CommentSubject">
    <w:name w:val="annotation subject"/>
    <w:basedOn w:val="CommentText"/>
    <w:next w:val="CommentText"/>
    <w:link w:val="CommentSubjectChar"/>
    <w:semiHidden/>
    <w:rsid w:val="00FF07BD"/>
    <w:rPr>
      <w:rFonts w:ascii=".VnTime" w:hAnsi=".VnTime"/>
      <w:sz w:val="28"/>
      <w:lang w:val="vi-VN"/>
    </w:rPr>
  </w:style>
  <w:style w:type="paragraph" w:styleId="CommentText">
    <w:name w:val="annotation text"/>
    <w:basedOn w:val="Normal"/>
    <w:link w:val="CommentTextChar"/>
    <w:semiHidden/>
    <w:unhideWhenUsed/>
    <w:rsid w:val="00FF07BD"/>
    <w:rPr>
      <w:sz w:val="20"/>
      <w:szCs w:val="20"/>
    </w:rPr>
  </w:style>
  <w:style w:type="character" w:customStyle="1" w:styleId="CommentTextChar">
    <w:name w:val="Comment Text Char"/>
    <w:basedOn w:val="DefaultParagraphFont"/>
    <w:link w:val="CommentText"/>
    <w:semiHidden/>
    <w:rsid w:val="00FF07BD"/>
    <w:rPr>
      <w:rFonts w:ascii="Times New Roman" w:eastAsia="Times New Roman" w:hAnsi="Times New Roman" w:cs="Times New Roman"/>
      <w:sz w:val="20"/>
      <w:szCs w:val="20"/>
      <w:lang w:val="en-US"/>
    </w:rPr>
  </w:style>
  <w:style w:type="character" w:customStyle="1" w:styleId="CommentSubjectChar1">
    <w:name w:val="Comment Subject Char1"/>
    <w:basedOn w:val="CommentTextChar"/>
    <w:link w:val="CommentSubject"/>
    <w:uiPriority w:val="99"/>
    <w:semiHidden/>
    <w:rsid w:val="00FF07BD"/>
    <w:rPr>
      <w:b/>
      <w:bCs/>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fn,footnote text,Footnot"/>
    <w:basedOn w:val="Normal"/>
    <w:link w:val="FootnoteTextChar"/>
    <w:uiPriority w:val="99"/>
    <w:rsid w:val="00FF07BD"/>
    <w:rPr>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1,fn Char,footnote text Char,Footnot Char"/>
    <w:basedOn w:val="DefaultParagraphFont"/>
    <w:link w:val="FootnoteText"/>
    <w:uiPriority w:val="99"/>
    <w:rsid w:val="00FF07BD"/>
    <w:rPr>
      <w:rFonts w:ascii="Times New Roman" w:eastAsia="Times New Roman" w:hAnsi="Times New Roman" w:cs="Times New Roman"/>
      <w:sz w:val="20"/>
      <w:szCs w:val="20"/>
      <w:lang w:val="en-US"/>
    </w:rPr>
  </w:style>
  <w:style w:type="character" w:customStyle="1" w:styleId="normal-h">
    <w:name w:val="normal-h"/>
    <w:basedOn w:val="DefaultParagraphFont"/>
    <w:rsid w:val="00FF07BD"/>
  </w:style>
  <w:style w:type="paragraph" w:customStyle="1" w:styleId="normal-p">
    <w:name w:val="normal-p"/>
    <w:basedOn w:val="Normal"/>
    <w:rsid w:val="00FF07BD"/>
    <w:pPr>
      <w:spacing w:before="100" w:beforeAutospacing="1" w:after="100" w:afterAutospacing="1"/>
    </w:pPr>
  </w:style>
  <w:style w:type="paragraph" w:styleId="Footer">
    <w:name w:val="footer"/>
    <w:basedOn w:val="Normal"/>
    <w:link w:val="FooterChar"/>
    <w:uiPriority w:val="99"/>
    <w:rsid w:val="00FF07BD"/>
    <w:pPr>
      <w:tabs>
        <w:tab w:val="center" w:pos="4320"/>
        <w:tab w:val="right" w:pos="8640"/>
      </w:tabs>
    </w:pPr>
  </w:style>
  <w:style w:type="character" w:customStyle="1" w:styleId="FooterChar">
    <w:name w:val="Footer Char"/>
    <w:basedOn w:val="DefaultParagraphFont"/>
    <w:link w:val="Footer"/>
    <w:uiPriority w:val="99"/>
    <w:rsid w:val="00FF07BD"/>
    <w:rPr>
      <w:rFonts w:ascii="Times New Roman" w:eastAsia="Times New Roman" w:hAnsi="Times New Roman" w:cs="Times New Roman"/>
      <w:sz w:val="24"/>
      <w:szCs w:val="24"/>
      <w:lang w:val="en-US"/>
    </w:rPr>
  </w:style>
  <w:style w:type="character" w:styleId="PageNumber">
    <w:name w:val="page number"/>
    <w:basedOn w:val="DefaultParagraphFont"/>
    <w:rsid w:val="00FF07BD"/>
  </w:style>
  <w:style w:type="paragraph" w:styleId="BodyTextIndent2">
    <w:name w:val="Body Text Indent 2"/>
    <w:basedOn w:val="Normal"/>
    <w:link w:val="BodyTextIndent2Char"/>
    <w:uiPriority w:val="99"/>
    <w:rsid w:val="00FF07BD"/>
    <w:pPr>
      <w:autoSpaceDE w:val="0"/>
      <w:autoSpaceDN w:val="0"/>
      <w:spacing w:before="60" w:after="40" w:line="300" w:lineRule="exact"/>
      <w:ind w:firstLine="720"/>
      <w:jc w:val="both"/>
    </w:pPr>
    <w:rPr>
      <w:rFonts w:ascii=".VnTime" w:hAnsi=".VnTime"/>
      <w:sz w:val="26"/>
      <w:szCs w:val="26"/>
    </w:rPr>
  </w:style>
  <w:style w:type="character" w:customStyle="1" w:styleId="BodyTextIndent2Char">
    <w:name w:val="Body Text Indent 2 Char"/>
    <w:basedOn w:val="DefaultParagraphFont"/>
    <w:link w:val="BodyTextIndent2"/>
    <w:uiPriority w:val="99"/>
    <w:rsid w:val="00FF07BD"/>
    <w:rPr>
      <w:rFonts w:ascii=".VnTime" w:eastAsia="Times New Roman" w:hAnsi=".VnTime" w:cs="Times New Roman"/>
      <w:sz w:val="26"/>
      <w:szCs w:val="26"/>
      <w:lang w:val="en-US"/>
    </w:rPr>
  </w:style>
  <w:style w:type="paragraph" w:styleId="NormalWeb">
    <w:name w:val="Normal (Web)"/>
    <w:basedOn w:val="Normal"/>
    <w:link w:val="NormalWebChar"/>
    <w:uiPriority w:val="99"/>
    <w:rsid w:val="00FF07BD"/>
    <w:pPr>
      <w:spacing w:before="100" w:beforeAutospacing="1" w:after="100" w:afterAutospacing="1"/>
    </w:pPr>
  </w:style>
  <w:style w:type="character" w:customStyle="1" w:styleId="NormalWebChar">
    <w:name w:val="Normal (Web) Char"/>
    <w:link w:val="NormalWeb"/>
    <w:uiPriority w:val="99"/>
    <w:locked/>
    <w:rsid w:val="00FF07BD"/>
    <w:rPr>
      <w:rFonts w:ascii="Times New Roman" w:eastAsia="Times New Roman" w:hAnsi="Times New Roman" w:cs="Times New Roman"/>
      <w:sz w:val="24"/>
      <w:szCs w:val="24"/>
      <w:lang w:val="en-US"/>
    </w:rPr>
  </w:style>
  <w:style w:type="character" w:styleId="Hyperlink">
    <w:name w:val="Hyperlink"/>
    <w:basedOn w:val="DefaultParagraphFont"/>
    <w:rsid w:val="00FF07BD"/>
    <w:rPr>
      <w:color w:val="0000FF"/>
      <w:u w:val="single"/>
    </w:rPr>
  </w:style>
  <w:style w:type="paragraph" w:styleId="BodyText">
    <w:name w:val="Body Text"/>
    <w:basedOn w:val="Normal"/>
    <w:link w:val="BodyTextChar"/>
    <w:rsid w:val="00FF07BD"/>
    <w:pPr>
      <w:jc w:val="both"/>
    </w:pPr>
    <w:rPr>
      <w:rFonts w:ascii=".VnTime" w:hAnsi=".VnTime"/>
      <w:sz w:val="28"/>
    </w:rPr>
  </w:style>
  <w:style w:type="character" w:customStyle="1" w:styleId="BodyTextChar">
    <w:name w:val="Body Text Char"/>
    <w:basedOn w:val="DefaultParagraphFont"/>
    <w:link w:val="BodyText"/>
    <w:rsid w:val="00FF07BD"/>
    <w:rPr>
      <w:rFonts w:ascii=".VnTime" w:eastAsia="Times New Roman" w:hAnsi=".VnTime" w:cs="Times New Roman"/>
      <w:sz w:val="28"/>
      <w:szCs w:val="24"/>
      <w:lang w:val="en-US"/>
    </w:rPr>
  </w:style>
  <w:style w:type="character" w:styleId="Emphasis">
    <w:name w:val="Emphasis"/>
    <w:basedOn w:val="DefaultParagraphFont"/>
    <w:qFormat/>
    <w:rsid w:val="00FF07BD"/>
    <w:rPr>
      <w:i/>
      <w:iCs/>
    </w:rPr>
  </w:style>
  <w:style w:type="character" w:customStyle="1" w:styleId="BodyTextIndent3Char">
    <w:name w:val="Body Text Indent 3 Char"/>
    <w:basedOn w:val="DefaultParagraphFont"/>
    <w:link w:val="BodyTextIndent3"/>
    <w:rsid w:val="00FF07BD"/>
    <w:rPr>
      <w:lang w:val="en-US"/>
    </w:rPr>
  </w:style>
  <w:style w:type="paragraph" w:styleId="BodyTextIndent3">
    <w:name w:val="Body Text Indent 3"/>
    <w:basedOn w:val="Normal"/>
    <w:link w:val="BodyTextIndent3Char"/>
    <w:rsid w:val="00FF07BD"/>
    <w:pPr>
      <w:spacing w:before="120" w:line="360" w:lineRule="auto"/>
      <w:ind w:firstLine="720"/>
      <w:jc w:val="both"/>
    </w:pPr>
    <w:rPr>
      <w:rFonts w:asciiTheme="minorHAnsi" w:eastAsiaTheme="minorHAnsi" w:hAnsiTheme="minorHAnsi" w:cstheme="minorBidi"/>
      <w:sz w:val="22"/>
      <w:szCs w:val="22"/>
    </w:rPr>
  </w:style>
  <w:style w:type="character" w:customStyle="1" w:styleId="BodyTextIndent3Char1">
    <w:name w:val="Body Text Indent 3 Char1"/>
    <w:basedOn w:val="DefaultParagraphFont"/>
    <w:link w:val="BodyTextIndent3"/>
    <w:uiPriority w:val="99"/>
    <w:semiHidden/>
    <w:rsid w:val="00FF07BD"/>
    <w:rPr>
      <w:rFonts w:ascii="Times New Roman" w:eastAsia="Times New Roman" w:hAnsi="Times New Roman" w:cs="Times New Roman"/>
      <w:sz w:val="16"/>
      <w:szCs w:val="16"/>
      <w:lang w:val="en-US"/>
    </w:rPr>
  </w:style>
  <w:style w:type="paragraph" w:styleId="ListParagraph">
    <w:name w:val="List Paragraph"/>
    <w:basedOn w:val="Normal"/>
    <w:uiPriority w:val="34"/>
    <w:qFormat/>
    <w:rsid w:val="00FF07BD"/>
    <w:pPr>
      <w:ind w:left="720"/>
    </w:pPr>
    <w:rPr>
      <w:rFonts w:ascii="Calibri" w:eastAsia="Calibri" w:hAnsi="Calibri" w:cs="Calibri"/>
      <w:sz w:val="22"/>
      <w:szCs w:val="22"/>
    </w:rPr>
  </w:style>
  <w:style w:type="character" w:customStyle="1" w:styleId="apple-style-span">
    <w:name w:val="apple-style-span"/>
    <w:basedOn w:val="DefaultParagraphFont"/>
    <w:rsid w:val="00FF07BD"/>
  </w:style>
  <w:style w:type="paragraph" w:customStyle="1" w:styleId="1CharCharCharChar">
    <w:name w:val="1 Char Char Char Char"/>
    <w:basedOn w:val="DocumentMap"/>
    <w:autoRedefine/>
    <w:rsid w:val="00FF07BD"/>
    <w:pPr>
      <w:widowControl w:val="0"/>
      <w:jc w:val="both"/>
    </w:pPr>
    <w:rPr>
      <w:rFonts w:eastAsia="SimSun" w:cs="Times New Roman"/>
      <w:kern w:val="2"/>
      <w:sz w:val="24"/>
      <w:szCs w:val="24"/>
      <w:lang w:eastAsia="zh-CN"/>
    </w:rPr>
  </w:style>
  <w:style w:type="paragraph" w:styleId="DocumentMap">
    <w:name w:val="Document Map"/>
    <w:basedOn w:val="Normal"/>
    <w:link w:val="DocumentMapChar"/>
    <w:semiHidden/>
    <w:rsid w:val="00FF07B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FF07BD"/>
    <w:rPr>
      <w:rFonts w:ascii="Tahoma" w:eastAsia="Times New Roman" w:hAnsi="Tahoma" w:cs="Tahoma"/>
      <w:sz w:val="20"/>
      <w:szCs w:val="20"/>
      <w:shd w:val="clear" w:color="auto" w:fill="000080"/>
      <w:lang w:val="en-US"/>
    </w:rPr>
  </w:style>
  <w:style w:type="paragraph" w:styleId="Header">
    <w:name w:val="header"/>
    <w:basedOn w:val="Normal"/>
    <w:link w:val="HeaderChar"/>
    <w:rsid w:val="00FF07BD"/>
    <w:pPr>
      <w:tabs>
        <w:tab w:val="center" w:pos="4320"/>
        <w:tab w:val="right" w:pos="8640"/>
      </w:tabs>
    </w:pPr>
    <w:rPr>
      <w:sz w:val="20"/>
      <w:szCs w:val="20"/>
    </w:rPr>
  </w:style>
  <w:style w:type="character" w:customStyle="1" w:styleId="HeaderChar">
    <w:name w:val="Header Char"/>
    <w:basedOn w:val="DefaultParagraphFont"/>
    <w:link w:val="Header"/>
    <w:rsid w:val="00FF07BD"/>
    <w:rPr>
      <w:rFonts w:ascii="Times New Roman" w:eastAsia="Times New Roman" w:hAnsi="Times New Roman" w:cs="Times New Roman"/>
      <w:sz w:val="20"/>
      <w:szCs w:val="20"/>
      <w:lang w:val="en-US"/>
    </w:rPr>
  </w:style>
  <w:style w:type="paragraph" w:styleId="BodyText2">
    <w:name w:val="Body Text 2"/>
    <w:basedOn w:val="Normal"/>
    <w:link w:val="BodyText2Char"/>
    <w:rsid w:val="00FF07BD"/>
    <w:pPr>
      <w:jc w:val="both"/>
    </w:pPr>
    <w:rPr>
      <w:rFonts w:ascii=".VnTimeH" w:hAnsi=".VnTimeH"/>
      <w:b/>
      <w:bCs/>
      <w:sz w:val="26"/>
    </w:rPr>
  </w:style>
  <w:style w:type="character" w:customStyle="1" w:styleId="BodyText2Char">
    <w:name w:val="Body Text 2 Char"/>
    <w:basedOn w:val="DefaultParagraphFont"/>
    <w:link w:val="BodyText2"/>
    <w:rsid w:val="00FF07BD"/>
    <w:rPr>
      <w:rFonts w:ascii=".VnTimeH" w:eastAsia="Times New Roman" w:hAnsi=".VnTimeH" w:cs="Times New Roman"/>
      <w:b/>
      <w:bCs/>
      <w:sz w:val="26"/>
      <w:szCs w:val="24"/>
      <w:lang w:val="en-US"/>
    </w:rPr>
  </w:style>
  <w:style w:type="paragraph" w:customStyle="1" w:styleId="intromoj">
    <w:name w:val="intro_moj"/>
    <w:basedOn w:val="Normal"/>
    <w:rsid w:val="00FF07BD"/>
    <w:pPr>
      <w:spacing w:before="100" w:beforeAutospacing="1" w:after="100" w:afterAutospacing="1"/>
    </w:pPr>
    <w:rPr>
      <w:rFonts w:eastAsia="MS Mincho"/>
    </w:rPr>
  </w:style>
  <w:style w:type="paragraph" w:styleId="BodyText3">
    <w:name w:val="Body Text 3"/>
    <w:basedOn w:val="Normal"/>
    <w:link w:val="BodyText3Char"/>
    <w:rsid w:val="00FF07BD"/>
    <w:pPr>
      <w:spacing w:before="120" w:after="120" w:line="288" w:lineRule="auto"/>
      <w:jc w:val="both"/>
    </w:pPr>
    <w:rPr>
      <w:color w:val="993300"/>
      <w:sz w:val="28"/>
      <w:szCs w:val="20"/>
    </w:rPr>
  </w:style>
  <w:style w:type="character" w:customStyle="1" w:styleId="BodyText3Char">
    <w:name w:val="Body Text 3 Char"/>
    <w:basedOn w:val="DefaultParagraphFont"/>
    <w:link w:val="BodyText3"/>
    <w:rsid w:val="00FF07BD"/>
    <w:rPr>
      <w:rFonts w:ascii="Times New Roman" w:eastAsia="Times New Roman" w:hAnsi="Times New Roman" w:cs="Times New Roman"/>
      <w:color w:val="993300"/>
      <w:sz w:val="28"/>
      <w:szCs w:val="20"/>
      <w:lang w:val="en-US"/>
    </w:rPr>
  </w:style>
  <w:style w:type="character" w:customStyle="1" w:styleId="apple-converted-space">
    <w:name w:val="apple-converted-space"/>
    <w:basedOn w:val="DefaultParagraphFont"/>
    <w:rsid w:val="00FF07BD"/>
  </w:style>
  <w:style w:type="character" w:customStyle="1" w:styleId="normal-h1">
    <w:name w:val="normal-h1"/>
    <w:basedOn w:val="DefaultParagraphFont"/>
    <w:rsid w:val="00FF07BD"/>
    <w:rPr>
      <w:rFonts w:ascii="Times New Roman" w:hAnsi="Times New Roman" w:cs="Times New Roman" w:hint="default"/>
      <w:sz w:val="28"/>
      <w:szCs w:val="28"/>
    </w:rPr>
  </w:style>
  <w:style w:type="paragraph" w:styleId="Title">
    <w:name w:val="Title"/>
    <w:basedOn w:val="Normal"/>
    <w:link w:val="TitleChar"/>
    <w:qFormat/>
    <w:rsid w:val="00FF07BD"/>
    <w:pPr>
      <w:jc w:val="center"/>
    </w:pPr>
    <w:rPr>
      <w:rFonts w:ascii=".VnTime" w:hAnsi=".VnTime"/>
      <w:b/>
      <w:sz w:val="28"/>
      <w:szCs w:val="20"/>
    </w:rPr>
  </w:style>
  <w:style w:type="character" w:customStyle="1" w:styleId="TitleChar">
    <w:name w:val="Title Char"/>
    <w:basedOn w:val="DefaultParagraphFont"/>
    <w:link w:val="Title"/>
    <w:rsid w:val="00FF07BD"/>
    <w:rPr>
      <w:rFonts w:ascii=".VnTime" w:eastAsia="Times New Roman" w:hAnsi=".VnTime" w:cs="Times New Roman"/>
      <w:b/>
      <w:sz w:val="28"/>
      <w:szCs w:val="20"/>
      <w:lang w:val="en-US"/>
    </w:rPr>
  </w:style>
  <w:style w:type="paragraph" w:customStyle="1" w:styleId="Normal0">
    <w:name w:val="[Normal]"/>
    <w:rsid w:val="00FF07BD"/>
    <w:pPr>
      <w:spacing w:after="0" w:line="240" w:lineRule="auto"/>
    </w:pPr>
    <w:rPr>
      <w:rFonts w:ascii="Arial" w:eastAsia="Arial" w:hAnsi="Arial" w:cs="Times New Roman"/>
      <w:sz w:val="24"/>
      <w:szCs w:val="20"/>
      <w:lang w:val="en-US"/>
    </w:rPr>
  </w:style>
  <w:style w:type="paragraph" w:customStyle="1" w:styleId="CharCharCharCharCharCharChar">
    <w:name w:val="Char Char Char Char Char Char Char"/>
    <w:basedOn w:val="Normal"/>
    <w:rsid w:val="00FF07BD"/>
    <w:pPr>
      <w:spacing w:after="160" w:line="240" w:lineRule="exact"/>
    </w:pPr>
    <w:rPr>
      <w:rFonts w:ascii="Verdana" w:hAnsi="Verdana"/>
      <w:sz w:val="20"/>
      <w:szCs w:val="20"/>
    </w:rPr>
  </w:style>
  <w:style w:type="character" w:customStyle="1" w:styleId="st">
    <w:name w:val="st"/>
    <w:basedOn w:val="DefaultParagraphFont"/>
    <w:rsid w:val="00FF07BD"/>
  </w:style>
  <w:style w:type="character" w:customStyle="1" w:styleId="BalloonTextChar">
    <w:name w:val="Balloon Text Char"/>
    <w:basedOn w:val="DefaultParagraphFont"/>
    <w:link w:val="BalloonText"/>
    <w:semiHidden/>
    <w:rsid w:val="00FF07BD"/>
    <w:rPr>
      <w:rFonts w:ascii="Tahoma" w:eastAsia="Times New Roman" w:hAnsi="Tahoma" w:cs="Tahoma"/>
      <w:sz w:val="16"/>
      <w:szCs w:val="16"/>
      <w:lang w:val="en-US"/>
    </w:rPr>
  </w:style>
  <w:style w:type="paragraph" w:styleId="BalloonText">
    <w:name w:val="Balloon Text"/>
    <w:basedOn w:val="Normal"/>
    <w:link w:val="BalloonTextChar"/>
    <w:semiHidden/>
    <w:rsid w:val="00FF07BD"/>
    <w:rPr>
      <w:rFonts w:ascii="Tahoma" w:hAnsi="Tahoma" w:cs="Tahoma"/>
      <w:sz w:val="16"/>
      <w:szCs w:val="16"/>
    </w:rPr>
  </w:style>
  <w:style w:type="character" w:styleId="Strong">
    <w:name w:val="Strong"/>
    <w:basedOn w:val="DefaultParagraphFont"/>
    <w:qFormat/>
    <w:rsid w:val="00FF07BD"/>
    <w:rPr>
      <w:b/>
      <w:bCs/>
    </w:rPr>
  </w:style>
  <w:style w:type="character" w:styleId="FootnoteReference">
    <w:name w:val="footnote reference"/>
    <w:aliases w:val="Footnote,Footnote text,ftref,Footnote text + 13 pt,Ref,de nota al pie,BearingPoint,BVI fnr,16 Point,Superscript 6 Point,fr,Footnote Text1,Footnote + Arial,10 pt,Footnote Text11,(NECG) Footnote Reference, BVI fnr,footnote ref"/>
    <w:uiPriority w:val="99"/>
    <w:qFormat/>
    <w:rsid w:val="00FF07BD"/>
    <w:rPr>
      <w:vertAlign w:val="superscript"/>
    </w:rPr>
  </w:style>
  <w:style w:type="paragraph" w:customStyle="1" w:styleId="Pa37">
    <w:name w:val="Pa37"/>
    <w:basedOn w:val="Normal"/>
    <w:next w:val="Normal"/>
    <w:rsid w:val="00FF07BD"/>
    <w:pPr>
      <w:autoSpaceDE w:val="0"/>
      <w:autoSpaceDN w:val="0"/>
      <w:adjustRightInd w:val="0"/>
      <w:spacing w:line="261" w:lineRule="atLeast"/>
    </w:pPr>
  </w:style>
  <w:style w:type="paragraph" w:customStyle="1" w:styleId="Pa85">
    <w:name w:val="Pa85"/>
    <w:basedOn w:val="Normal"/>
    <w:next w:val="Normal"/>
    <w:rsid w:val="00FF07BD"/>
    <w:pPr>
      <w:autoSpaceDE w:val="0"/>
      <w:autoSpaceDN w:val="0"/>
      <w:adjustRightInd w:val="0"/>
      <w:spacing w:line="261" w:lineRule="atLeast"/>
    </w:pPr>
  </w:style>
  <w:style w:type="paragraph" w:customStyle="1" w:styleId="Pa86">
    <w:name w:val="Pa86"/>
    <w:basedOn w:val="Normal"/>
    <w:next w:val="Normal"/>
    <w:rsid w:val="00FF07BD"/>
    <w:pPr>
      <w:autoSpaceDE w:val="0"/>
      <w:autoSpaceDN w:val="0"/>
      <w:adjustRightInd w:val="0"/>
      <w:spacing w:line="241" w:lineRule="atLeast"/>
    </w:pPr>
  </w:style>
  <w:style w:type="character" w:customStyle="1" w:styleId="h2mainheadingChar">
    <w:name w:val="h2 main heading Char"/>
    <w:aliases w:val="B Sub/Bold Char,B Sub/Bold1 Char,B Sub/Bold2 Char,B Sub/Bold11 Char,h2 main heading1 Char,h2 main heading2 Char,B Sub/Bold3 Char,B Sub/Bold12 Char,h2 main heading3 Char,B Sub/Bold4 Char,B Sub/Bold13 Char,Reset numbering Char Char"/>
    <w:basedOn w:val="DefaultParagraphFont"/>
    <w:rsid w:val="00FF07BD"/>
    <w:rPr>
      <w:rFonts w:eastAsia="Times New Roman" w:cs="Arial"/>
      <w:iCs/>
      <w:sz w:val="28"/>
      <w:szCs w:val="28"/>
    </w:rPr>
  </w:style>
  <w:style w:type="character" w:customStyle="1" w:styleId="ruotChar">
    <w:name w:val="ruot Char"/>
    <w:basedOn w:val="DefaultParagraphFont"/>
    <w:link w:val="ruot"/>
    <w:locked/>
    <w:rsid w:val="00FF07BD"/>
    <w:rPr>
      <w:sz w:val="28"/>
      <w:szCs w:val="28"/>
    </w:rPr>
  </w:style>
  <w:style w:type="paragraph" w:customStyle="1" w:styleId="ruot">
    <w:name w:val="ruot"/>
    <w:basedOn w:val="Normal"/>
    <w:link w:val="ruotChar"/>
    <w:rsid w:val="00FF07BD"/>
    <w:pPr>
      <w:spacing w:before="120" w:after="120" w:line="264" w:lineRule="auto"/>
      <w:ind w:firstLine="720"/>
      <w:jc w:val="both"/>
    </w:pPr>
    <w:rPr>
      <w:rFonts w:asciiTheme="minorHAnsi" w:eastAsiaTheme="minorHAnsi" w:hAnsiTheme="minorHAnsi" w:cstheme="minorBidi"/>
      <w:sz w:val="28"/>
      <w:szCs w:val="28"/>
      <w:lang w:val="vi-VN"/>
    </w:rPr>
  </w:style>
  <w:style w:type="paragraph" w:customStyle="1" w:styleId="CharChar3CharCharCharCharCharCharCharCharCharChar">
    <w:name w:val="Char Char3 Char Char Char Char Char Char Char Char Char Char"/>
    <w:basedOn w:val="Normal"/>
    <w:rsid w:val="00FF07BD"/>
    <w:pPr>
      <w:spacing w:before="60" w:after="160" w:line="240" w:lineRule="exact"/>
      <w:ind w:firstLine="360"/>
      <w:jc w:val="both"/>
    </w:pPr>
    <w:rPr>
      <w:rFonts w:ascii="Arial" w:hAnsi="Arial"/>
      <w:spacing w:val="-2"/>
      <w:sz w:val="20"/>
      <w:szCs w:val="20"/>
      <w:lang w:val="en-GB"/>
    </w:rPr>
  </w:style>
  <w:style w:type="character" w:customStyle="1" w:styleId="CharChar15">
    <w:name w:val="Char Char15"/>
    <w:basedOn w:val="DefaultParagraphFont"/>
    <w:rsid w:val="00FF07BD"/>
    <w:rPr>
      <w:rFonts w:ascii="Cambria" w:eastAsia="Times New Roman" w:hAnsi="Cambria" w:cs="Times New Roman"/>
      <w:b/>
      <w:bCs/>
      <w:kern w:val="32"/>
      <w:sz w:val="32"/>
      <w:szCs w:val="32"/>
      <w:lang w:eastAsia="zh-CN"/>
    </w:rPr>
  </w:style>
  <w:style w:type="character" w:customStyle="1" w:styleId="CharChar10">
    <w:name w:val="Char Char10"/>
    <w:basedOn w:val="DefaultParagraphFont"/>
    <w:rsid w:val="00FF07BD"/>
    <w:rPr>
      <w:rFonts w:eastAsia="Times New Roman"/>
      <w:sz w:val="28"/>
      <w:szCs w:val="24"/>
    </w:rPr>
  </w:style>
  <w:style w:type="paragraph" w:customStyle="1" w:styleId="n-dieund">
    <w:name w:val="n-dieund"/>
    <w:basedOn w:val="Normal"/>
    <w:rsid w:val="00FF07BD"/>
    <w:pPr>
      <w:spacing w:after="120"/>
      <w:ind w:firstLine="709"/>
      <w:jc w:val="both"/>
    </w:pPr>
    <w:rPr>
      <w:sz w:val="28"/>
      <w:szCs w:val="28"/>
    </w:rPr>
  </w:style>
  <w:style w:type="paragraph" w:customStyle="1" w:styleId="abc">
    <w:name w:val="abc"/>
    <w:basedOn w:val="Normal"/>
    <w:link w:val="abcChar"/>
    <w:rsid w:val="00FF07BD"/>
  </w:style>
  <w:style w:type="character" w:customStyle="1" w:styleId="abcChar">
    <w:name w:val="abc Char"/>
    <w:link w:val="abc"/>
    <w:locked/>
    <w:rsid w:val="00FF07BD"/>
    <w:rPr>
      <w:rFonts w:ascii="Times New Roman" w:eastAsia="Times New Roman" w:hAnsi="Times New Roman" w:cs="Times New Roman"/>
      <w:sz w:val="24"/>
      <w:szCs w:val="24"/>
      <w:lang w:val="en-US"/>
    </w:rPr>
  </w:style>
  <w:style w:type="paragraph" w:styleId="Caption">
    <w:name w:val="caption"/>
    <w:basedOn w:val="Normal"/>
    <w:next w:val="Normal"/>
    <w:qFormat/>
    <w:rsid w:val="00FF07BD"/>
    <w:pPr>
      <w:spacing w:before="120"/>
      <w:jc w:val="right"/>
    </w:pPr>
    <w:rPr>
      <w:i/>
      <w:iCs/>
      <w:sz w:val="28"/>
    </w:rPr>
  </w:style>
  <w:style w:type="paragraph" w:customStyle="1" w:styleId="Style1">
    <w:name w:val="Style1"/>
    <w:basedOn w:val="Normal"/>
    <w:rsid w:val="00FF07BD"/>
    <w:pPr>
      <w:autoSpaceDE w:val="0"/>
      <w:autoSpaceDN w:val="0"/>
    </w:pPr>
    <w:rPr>
      <w:sz w:val="28"/>
      <w:szCs w:val="28"/>
    </w:rPr>
  </w:style>
  <w:style w:type="paragraph" w:customStyle="1" w:styleId="n-dieu">
    <w:name w:val="n-dieu"/>
    <w:basedOn w:val="Normal"/>
    <w:rsid w:val="00FF07BD"/>
    <w:pPr>
      <w:spacing w:before="120" w:after="180"/>
      <w:ind w:firstLine="709"/>
    </w:pPr>
    <w:rPr>
      <w:b/>
      <w:i/>
      <w:sz w:val="28"/>
      <w:szCs w:val="20"/>
    </w:rPr>
  </w:style>
  <w:style w:type="paragraph" w:customStyle="1" w:styleId="NormalBold">
    <w:name w:val="Normal + Bold"/>
    <w:aliases w:val="Black,Centered,Expanded by  1,2 pt"/>
    <w:basedOn w:val="Normal"/>
    <w:rsid w:val="00FF07BD"/>
    <w:pPr>
      <w:jc w:val="center"/>
    </w:pPr>
    <w:rPr>
      <w:b/>
      <w:bCs/>
      <w:color w:val="000000"/>
      <w:spacing w:val="24"/>
      <w:sz w:val="28"/>
      <w:szCs w:val="28"/>
      <w:lang w:val="nl-NL"/>
    </w:rPr>
  </w:style>
  <w:style w:type="paragraph" w:customStyle="1" w:styleId="canchinh">
    <w:name w:val="canchinh"/>
    <w:basedOn w:val="Normal"/>
    <w:rsid w:val="00FF07BD"/>
    <w:pPr>
      <w:spacing w:before="120" w:after="60" w:line="360" w:lineRule="exact"/>
      <w:ind w:firstLine="720"/>
      <w:jc w:val="both"/>
    </w:pPr>
    <w:rPr>
      <w:sz w:val="28"/>
    </w:rPr>
  </w:style>
  <w:style w:type="paragraph" w:customStyle="1" w:styleId="6">
    <w:name w:val="6"/>
    <w:basedOn w:val="FootnoteText"/>
    <w:link w:val="6Char"/>
    <w:rsid w:val="00FF07BD"/>
    <w:pPr>
      <w:spacing w:before="120"/>
      <w:jc w:val="both"/>
    </w:pPr>
    <w:rPr>
      <w:rFonts w:ascii="Arial" w:hAnsi="Arial" w:cs="Arial"/>
      <w:color w:val="0000FF"/>
    </w:rPr>
  </w:style>
  <w:style w:type="character" w:customStyle="1" w:styleId="6Char">
    <w:name w:val="6 Char"/>
    <w:link w:val="6"/>
    <w:rsid w:val="00FF07BD"/>
    <w:rPr>
      <w:rFonts w:ascii="Arial" w:eastAsia="Times New Roman" w:hAnsi="Arial" w:cs="Arial"/>
      <w:color w:val="0000FF"/>
      <w:sz w:val="20"/>
      <w:szCs w:val="20"/>
      <w:lang w:val="en-US"/>
    </w:rPr>
  </w:style>
  <w:style w:type="paragraph" w:customStyle="1" w:styleId="content">
    <w:name w:val="content"/>
    <w:basedOn w:val="Normal"/>
    <w:rsid w:val="00FF07BD"/>
    <w:pPr>
      <w:spacing w:before="100" w:beforeAutospacing="1" w:after="100" w:afterAutospacing="1"/>
    </w:pPr>
    <w:rPr>
      <w:rFonts w:ascii="Arial" w:hAnsi="Arial" w:cs="Arial"/>
      <w:sz w:val="18"/>
      <w:szCs w:val="18"/>
    </w:rPr>
  </w:style>
  <w:style w:type="character" w:customStyle="1" w:styleId="A11">
    <w:name w:val="A11"/>
    <w:rsid w:val="00FF07BD"/>
    <w:rPr>
      <w:color w:val="000000"/>
      <w:sz w:val="26"/>
      <w:szCs w:val="26"/>
    </w:rPr>
  </w:style>
  <w:style w:type="paragraph" w:customStyle="1" w:styleId="Lm">
    <w:name w:val="Lm"/>
    <w:basedOn w:val="Heading2"/>
    <w:rsid w:val="00FF07BD"/>
    <w:pPr>
      <w:keepNext/>
      <w:spacing w:before="120" w:beforeAutospacing="0" w:after="120" w:afterAutospacing="0"/>
      <w:ind w:firstLine="720"/>
      <w:jc w:val="both"/>
    </w:pPr>
    <w:rPr>
      <w:rFonts w:ascii="Times New Roman Bold" w:hAnsi="Times New Roman Bold" w:cs="Arial"/>
      <w:iCs/>
      <w:sz w:val="28"/>
      <w:szCs w:val="28"/>
    </w:rPr>
  </w:style>
  <w:style w:type="character" w:customStyle="1" w:styleId="hps">
    <w:name w:val="hps"/>
    <w:rsid w:val="00FF07BD"/>
  </w:style>
  <w:style w:type="character" w:customStyle="1" w:styleId="CharChar18">
    <w:name w:val="Char Char18"/>
    <w:locked/>
    <w:rsid w:val="00FF07BD"/>
    <w:rPr>
      <w:rFonts w:ascii="Arial" w:hAnsi="Arial" w:cs="Arial"/>
      <w:b/>
      <w:bCs/>
      <w:kern w:val="32"/>
      <w:sz w:val="32"/>
      <w:szCs w:val="32"/>
      <w:lang w:val="en-US" w:eastAsia="en-US" w:bidi="ar-SA"/>
    </w:rPr>
  </w:style>
  <w:style w:type="character" w:customStyle="1" w:styleId="CharChar17">
    <w:name w:val="Char Char17"/>
    <w:locked/>
    <w:rsid w:val="00FF07BD"/>
    <w:rPr>
      <w:rFonts w:ascii="Arial" w:hAnsi="Arial" w:cs="Arial"/>
      <w:b/>
      <w:bCs/>
      <w:i/>
      <w:iCs/>
      <w:sz w:val="28"/>
      <w:szCs w:val="28"/>
      <w:lang w:val="en-US" w:eastAsia="en-US" w:bidi="ar-SA"/>
    </w:rPr>
  </w:style>
  <w:style w:type="character" w:customStyle="1" w:styleId="CharChar16">
    <w:name w:val="Char Char16"/>
    <w:locked/>
    <w:rsid w:val="00FF07BD"/>
    <w:rPr>
      <w:b/>
      <w:bCs/>
      <w:sz w:val="28"/>
      <w:szCs w:val="28"/>
      <w:lang w:val="en-US" w:eastAsia="en-US" w:bidi="ar-SA"/>
    </w:rPr>
  </w:style>
  <w:style w:type="character" w:styleId="FollowedHyperlink">
    <w:name w:val="FollowedHyperlink"/>
    <w:rsid w:val="00FF07BD"/>
    <w:rPr>
      <w:color w:val="800080"/>
      <w:u w:val="single"/>
    </w:rPr>
  </w:style>
  <w:style w:type="paragraph" w:customStyle="1" w:styleId="font5">
    <w:name w:val="font5"/>
    <w:basedOn w:val="Normal"/>
    <w:rsid w:val="00FF07BD"/>
    <w:pPr>
      <w:spacing w:before="100" w:beforeAutospacing="1" w:after="100" w:afterAutospacing="1"/>
    </w:pPr>
    <w:rPr>
      <w:i/>
      <w:iCs/>
      <w:color w:val="000000"/>
      <w:sz w:val="20"/>
      <w:szCs w:val="20"/>
    </w:rPr>
  </w:style>
  <w:style w:type="paragraph" w:customStyle="1" w:styleId="xl65">
    <w:name w:val="xl65"/>
    <w:basedOn w:val="Normal"/>
    <w:rsid w:val="00FF07BD"/>
    <w:pPr>
      <w:spacing w:before="100" w:beforeAutospacing="1" w:after="100" w:afterAutospacing="1"/>
      <w:textAlignment w:val="top"/>
    </w:pPr>
    <w:rPr>
      <w:sz w:val="20"/>
      <w:szCs w:val="20"/>
    </w:rPr>
  </w:style>
  <w:style w:type="paragraph" w:customStyle="1" w:styleId="xl66">
    <w:name w:val="xl66"/>
    <w:basedOn w:val="Normal"/>
    <w:rsid w:val="00FF07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67">
    <w:name w:val="xl67"/>
    <w:basedOn w:val="Normal"/>
    <w:rsid w:val="00FF07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68">
    <w:name w:val="xl68"/>
    <w:basedOn w:val="Normal"/>
    <w:rsid w:val="00FF07BD"/>
    <w:pPr>
      <w:pBdr>
        <w:top w:val="single" w:sz="4" w:space="0" w:color="auto"/>
        <w:left w:val="single" w:sz="4" w:space="0" w:color="auto"/>
        <w:bottom w:val="single" w:sz="4" w:space="0" w:color="auto"/>
        <w:right w:val="single" w:sz="4" w:space="0" w:color="auto"/>
      </w:pBdr>
      <w:shd w:val="clear" w:color="000000" w:fill="4BACC6"/>
      <w:spacing w:before="100" w:beforeAutospacing="1" w:after="100" w:afterAutospacing="1"/>
      <w:textAlignment w:val="top"/>
    </w:pPr>
    <w:rPr>
      <w:b/>
      <w:bCs/>
      <w:sz w:val="20"/>
      <w:szCs w:val="20"/>
    </w:rPr>
  </w:style>
  <w:style w:type="paragraph" w:customStyle="1" w:styleId="xl69">
    <w:name w:val="xl69"/>
    <w:basedOn w:val="Normal"/>
    <w:rsid w:val="00FF07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0"/>
      <w:szCs w:val="20"/>
    </w:rPr>
  </w:style>
  <w:style w:type="paragraph" w:customStyle="1" w:styleId="xl70">
    <w:name w:val="xl70"/>
    <w:basedOn w:val="Normal"/>
    <w:rsid w:val="00FF07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0"/>
      <w:szCs w:val="20"/>
    </w:rPr>
  </w:style>
  <w:style w:type="paragraph" w:customStyle="1" w:styleId="xl71">
    <w:name w:val="xl71"/>
    <w:basedOn w:val="Normal"/>
    <w:rsid w:val="00FF07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72">
    <w:name w:val="xl72"/>
    <w:basedOn w:val="Normal"/>
    <w:rsid w:val="00FF07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0"/>
      <w:szCs w:val="20"/>
    </w:rPr>
  </w:style>
  <w:style w:type="paragraph" w:customStyle="1" w:styleId="xl73">
    <w:name w:val="xl73"/>
    <w:basedOn w:val="Normal"/>
    <w:rsid w:val="00FF07BD"/>
    <w:pPr>
      <w:pBdr>
        <w:top w:val="single" w:sz="4" w:space="0" w:color="auto"/>
        <w:left w:val="single" w:sz="4" w:space="0" w:color="auto"/>
        <w:bottom w:val="single" w:sz="4" w:space="0" w:color="auto"/>
        <w:right w:val="single" w:sz="4" w:space="0" w:color="auto"/>
      </w:pBdr>
      <w:shd w:val="clear" w:color="000000" w:fill="76933C"/>
      <w:spacing w:before="100" w:beforeAutospacing="1" w:after="100" w:afterAutospacing="1"/>
      <w:textAlignment w:val="top"/>
    </w:pPr>
    <w:rPr>
      <w:sz w:val="20"/>
      <w:szCs w:val="20"/>
    </w:rPr>
  </w:style>
  <w:style w:type="paragraph" w:customStyle="1" w:styleId="xl74">
    <w:name w:val="xl74"/>
    <w:basedOn w:val="Normal"/>
    <w:rsid w:val="00FF07BD"/>
    <w:pPr>
      <w:spacing w:before="100" w:beforeAutospacing="1" w:after="100" w:afterAutospacing="1"/>
      <w:jc w:val="center"/>
      <w:textAlignment w:val="top"/>
    </w:pPr>
    <w:rPr>
      <w:sz w:val="20"/>
      <w:szCs w:val="20"/>
    </w:rPr>
  </w:style>
  <w:style w:type="paragraph" w:customStyle="1" w:styleId="xl75">
    <w:name w:val="xl75"/>
    <w:basedOn w:val="Normal"/>
    <w:rsid w:val="00FF07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FF0000"/>
      <w:sz w:val="20"/>
      <w:szCs w:val="20"/>
    </w:rPr>
  </w:style>
  <w:style w:type="paragraph" w:customStyle="1" w:styleId="xl76">
    <w:name w:val="xl76"/>
    <w:basedOn w:val="Normal"/>
    <w:rsid w:val="00FF07BD"/>
    <w:pPr>
      <w:spacing w:before="100" w:beforeAutospacing="1" w:after="100" w:afterAutospacing="1"/>
      <w:jc w:val="center"/>
      <w:textAlignment w:val="top"/>
    </w:pPr>
    <w:rPr>
      <w:b/>
      <w:bCs/>
      <w:sz w:val="20"/>
      <w:szCs w:val="20"/>
    </w:rPr>
  </w:style>
  <w:style w:type="paragraph" w:customStyle="1" w:styleId="xl77">
    <w:name w:val="xl77"/>
    <w:basedOn w:val="Normal"/>
    <w:rsid w:val="00FF07BD"/>
    <w:pPr>
      <w:pBdr>
        <w:top w:val="single" w:sz="4" w:space="0" w:color="auto"/>
        <w:left w:val="single" w:sz="4" w:space="0" w:color="auto"/>
        <w:bottom w:val="single" w:sz="4" w:space="0" w:color="auto"/>
        <w:right w:val="single" w:sz="4" w:space="0" w:color="auto"/>
      </w:pBdr>
      <w:shd w:val="clear" w:color="000000" w:fill="4BACC6"/>
      <w:spacing w:before="100" w:beforeAutospacing="1" w:after="100" w:afterAutospacing="1"/>
      <w:jc w:val="center"/>
      <w:textAlignment w:val="top"/>
    </w:pPr>
    <w:rPr>
      <w:b/>
      <w:bCs/>
      <w:sz w:val="20"/>
      <w:szCs w:val="20"/>
    </w:rPr>
  </w:style>
  <w:style w:type="paragraph" w:customStyle="1" w:styleId="xl78">
    <w:name w:val="xl78"/>
    <w:basedOn w:val="Normal"/>
    <w:rsid w:val="00FF07BD"/>
    <w:pPr>
      <w:pBdr>
        <w:top w:val="single" w:sz="4" w:space="0" w:color="auto"/>
        <w:left w:val="single" w:sz="4" w:space="0" w:color="auto"/>
        <w:bottom w:val="single" w:sz="4" w:space="0" w:color="auto"/>
        <w:right w:val="single" w:sz="4" w:space="0" w:color="auto"/>
      </w:pBdr>
      <w:shd w:val="clear" w:color="000000" w:fill="4BACC6"/>
      <w:spacing w:before="100" w:beforeAutospacing="1" w:after="100" w:afterAutospacing="1"/>
      <w:jc w:val="center"/>
      <w:textAlignment w:val="top"/>
    </w:pPr>
    <w:rPr>
      <w:b/>
      <w:bCs/>
      <w:sz w:val="20"/>
      <w:szCs w:val="20"/>
    </w:rPr>
  </w:style>
  <w:style w:type="paragraph" w:customStyle="1" w:styleId="xl79">
    <w:name w:val="xl79"/>
    <w:basedOn w:val="Normal"/>
    <w:rsid w:val="00FF07BD"/>
    <w:pPr>
      <w:pBdr>
        <w:left w:val="single" w:sz="4" w:space="0" w:color="auto"/>
        <w:bottom w:val="single" w:sz="4" w:space="0" w:color="auto"/>
        <w:right w:val="single" w:sz="4" w:space="0" w:color="auto"/>
      </w:pBdr>
      <w:shd w:val="clear" w:color="000000" w:fill="4BACC6"/>
      <w:spacing w:before="100" w:beforeAutospacing="1" w:after="100" w:afterAutospacing="1"/>
      <w:jc w:val="center"/>
      <w:textAlignment w:val="top"/>
    </w:pPr>
    <w:rPr>
      <w:b/>
      <w:bCs/>
      <w:sz w:val="20"/>
      <w:szCs w:val="20"/>
    </w:rPr>
  </w:style>
  <w:style w:type="paragraph" w:customStyle="1" w:styleId="xl80">
    <w:name w:val="xl80"/>
    <w:basedOn w:val="Normal"/>
    <w:rsid w:val="00FF07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81">
    <w:name w:val="xl81"/>
    <w:basedOn w:val="Normal"/>
    <w:rsid w:val="00FF07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2">
    <w:name w:val="xl82"/>
    <w:basedOn w:val="Normal"/>
    <w:rsid w:val="00FF07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83">
    <w:name w:val="xl83"/>
    <w:basedOn w:val="Normal"/>
    <w:rsid w:val="00FF07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B0F0"/>
      <w:sz w:val="20"/>
      <w:szCs w:val="20"/>
    </w:rPr>
  </w:style>
  <w:style w:type="paragraph" w:customStyle="1" w:styleId="xl84">
    <w:name w:val="xl84"/>
    <w:basedOn w:val="Normal"/>
    <w:rsid w:val="00FF07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85">
    <w:name w:val="xl85"/>
    <w:basedOn w:val="Normal"/>
    <w:rsid w:val="00FF07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16"/>
      <w:szCs w:val="16"/>
    </w:rPr>
  </w:style>
  <w:style w:type="paragraph" w:customStyle="1" w:styleId="xl86">
    <w:name w:val="xl86"/>
    <w:basedOn w:val="Normal"/>
    <w:rsid w:val="00FF07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16"/>
      <w:szCs w:val="16"/>
    </w:rPr>
  </w:style>
  <w:style w:type="paragraph" w:customStyle="1" w:styleId="xl87">
    <w:name w:val="xl87"/>
    <w:basedOn w:val="Normal"/>
    <w:rsid w:val="00FF07BD"/>
    <w:pPr>
      <w:pBdr>
        <w:left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88">
    <w:name w:val="xl88"/>
    <w:basedOn w:val="Normal"/>
    <w:rsid w:val="00FF07BD"/>
    <w:pPr>
      <w:pBdr>
        <w:top w:val="single" w:sz="4" w:space="0" w:color="auto"/>
        <w:left w:val="single" w:sz="4" w:space="0" w:color="auto"/>
        <w:right w:val="single" w:sz="4" w:space="0" w:color="auto"/>
      </w:pBdr>
      <w:spacing w:before="100" w:beforeAutospacing="1" w:after="100" w:afterAutospacing="1"/>
      <w:textAlignment w:val="top"/>
    </w:pPr>
    <w:rPr>
      <w:b/>
      <w:bCs/>
      <w:sz w:val="16"/>
      <w:szCs w:val="16"/>
    </w:rPr>
  </w:style>
  <w:style w:type="paragraph" w:customStyle="1" w:styleId="xl89">
    <w:name w:val="xl89"/>
    <w:basedOn w:val="Normal"/>
    <w:rsid w:val="00FF07BD"/>
    <w:pPr>
      <w:pBdr>
        <w:top w:val="single" w:sz="4" w:space="0" w:color="auto"/>
        <w:left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90">
    <w:name w:val="xl90"/>
    <w:basedOn w:val="Normal"/>
    <w:rsid w:val="00FF07BD"/>
    <w:pPr>
      <w:pBdr>
        <w:top w:val="single" w:sz="4" w:space="0" w:color="auto"/>
        <w:left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91">
    <w:name w:val="xl91"/>
    <w:basedOn w:val="Normal"/>
    <w:rsid w:val="00FF07BD"/>
    <w:pPr>
      <w:pBdr>
        <w:top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92">
    <w:name w:val="xl92"/>
    <w:basedOn w:val="Normal"/>
    <w:rsid w:val="00FF07BD"/>
    <w:pPr>
      <w:pBdr>
        <w:top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93">
    <w:name w:val="xl93"/>
    <w:basedOn w:val="Normal"/>
    <w:rsid w:val="00FF07BD"/>
    <w:pPr>
      <w:pBdr>
        <w:top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94">
    <w:name w:val="xl94"/>
    <w:basedOn w:val="Normal"/>
    <w:rsid w:val="00FF07BD"/>
    <w:pPr>
      <w:pBdr>
        <w:top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95">
    <w:name w:val="xl95"/>
    <w:basedOn w:val="Normal"/>
    <w:rsid w:val="00FF07BD"/>
    <w:pPr>
      <w:pBdr>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96">
    <w:name w:val="xl96"/>
    <w:basedOn w:val="Normal"/>
    <w:rsid w:val="00FF07BD"/>
    <w:pPr>
      <w:pBdr>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Default">
    <w:name w:val="Default"/>
    <w:rsid w:val="00FF07BD"/>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A27">
    <w:name w:val="A27"/>
    <w:rsid w:val="00FF07BD"/>
    <w:rPr>
      <w:color w:val="000000"/>
      <w:sz w:val="15"/>
      <w:szCs w:val="15"/>
    </w:rPr>
  </w:style>
  <w:style w:type="character" w:customStyle="1" w:styleId="A19">
    <w:name w:val="A19"/>
    <w:rsid w:val="00FF07BD"/>
    <w:rPr>
      <w:rFonts w:ascii="Arial" w:hAnsi="Arial" w:cs="Arial"/>
      <w:color w:val="000000"/>
      <w:sz w:val="22"/>
      <w:szCs w:val="22"/>
    </w:rPr>
  </w:style>
  <w:style w:type="paragraph" w:customStyle="1" w:styleId="Pa10">
    <w:name w:val="Pa10"/>
    <w:basedOn w:val="Default"/>
    <w:next w:val="Default"/>
    <w:rsid w:val="00FF07BD"/>
    <w:pPr>
      <w:spacing w:line="241" w:lineRule="atLeast"/>
    </w:pPr>
    <w:rPr>
      <w:color w:val="auto"/>
    </w:rPr>
  </w:style>
  <w:style w:type="character" w:customStyle="1" w:styleId="A16">
    <w:name w:val="A16"/>
    <w:rsid w:val="00FF07BD"/>
    <w:rPr>
      <w:rFonts w:ascii="Arial" w:hAnsi="Arial" w:cs="Arial"/>
      <w:color w:val="000000"/>
      <w:sz w:val="22"/>
      <w:szCs w:val="22"/>
    </w:rPr>
  </w:style>
  <w:style w:type="paragraph" w:customStyle="1" w:styleId="nd">
    <w:name w:val="nd"/>
    <w:basedOn w:val="Normal"/>
    <w:rsid w:val="00FF07BD"/>
    <w:pPr>
      <w:spacing w:before="120" w:line="320" w:lineRule="exact"/>
      <w:ind w:firstLine="567"/>
      <w:jc w:val="both"/>
    </w:pPr>
    <w:rPr>
      <w:rFonts w:eastAsia="MS Mincho"/>
      <w:color w:val="000000"/>
      <w:sz w:val="28"/>
      <w:szCs w:val="28"/>
      <w:lang w:val="vi-VN" w:eastAsia="ja-JP"/>
    </w:rPr>
  </w:style>
  <w:style w:type="paragraph" w:customStyle="1" w:styleId="Ph">
    <w:name w:val="Ph"/>
    <w:basedOn w:val="Heading1"/>
    <w:rsid w:val="00FF07BD"/>
    <w:pPr>
      <w:spacing w:before="120" w:after="120"/>
      <w:jc w:val="center"/>
    </w:pPr>
    <w:rPr>
      <w:rFonts w:ascii="Times New Roman Bold" w:hAnsi="Times New Roman Bold" w:cs="Arial"/>
      <w:bCs/>
      <w:kern w:val="32"/>
      <w:sz w:val="28"/>
      <w:szCs w:val="28"/>
    </w:rPr>
  </w:style>
  <w:style w:type="paragraph" w:styleId="Subtitle">
    <w:name w:val="Subtitle"/>
    <w:basedOn w:val="Normal"/>
    <w:link w:val="SubtitleChar"/>
    <w:qFormat/>
    <w:rsid w:val="00FF07BD"/>
    <w:pPr>
      <w:jc w:val="center"/>
    </w:pPr>
    <w:rPr>
      <w:sz w:val="28"/>
    </w:rPr>
  </w:style>
  <w:style w:type="character" w:customStyle="1" w:styleId="SubtitleChar">
    <w:name w:val="Subtitle Char"/>
    <w:basedOn w:val="DefaultParagraphFont"/>
    <w:link w:val="Subtitle"/>
    <w:rsid w:val="00FF07BD"/>
    <w:rPr>
      <w:rFonts w:ascii="Times New Roman" w:eastAsia="Times New Roman" w:hAnsi="Times New Roman" w:cs="Times New Roman"/>
      <w:sz w:val="28"/>
      <w:szCs w:val="24"/>
      <w:lang w:val="en-US"/>
    </w:rPr>
  </w:style>
  <w:style w:type="paragraph" w:styleId="PlainText">
    <w:name w:val="Plain Text"/>
    <w:basedOn w:val="Normal"/>
    <w:link w:val="PlainTextChar"/>
    <w:rsid w:val="00FF07BD"/>
    <w:rPr>
      <w:rFonts w:ascii="Courier New" w:hAnsi="Courier New"/>
      <w:sz w:val="20"/>
      <w:szCs w:val="20"/>
    </w:rPr>
  </w:style>
  <w:style w:type="character" w:customStyle="1" w:styleId="PlainTextChar">
    <w:name w:val="Plain Text Char"/>
    <w:basedOn w:val="DefaultParagraphFont"/>
    <w:link w:val="PlainText"/>
    <w:rsid w:val="00FF07BD"/>
    <w:rPr>
      <w:rFonts w:ascii="Courier New" w:eastAsia="Times New Roman" w:hAnsi="Courier New" w:cs="Times New Roman"/>
      <w:sz w:val="20"/>
      <w:szCs w:val="20"/>
      <w:lang w:val="en-US"/>
    </w:rPr>
  </w:style>
  <w:style w:type="character" w:customStyle="1" w:styleId="ruotCharCharChar">
    <w:name w:val="ruot Char Char Char"/>
    <w:link w:val="ruotCharChar"/>
    <w:locked/>
    <w:rsid w:val="00FF07BD"/>
    <w:rPr>
      <w:sz w:val="28"/>
      <w:szCs w:val="28"/>
    </w:rPr>
  </w:style>
  <w:style w:type="paragraph" w:customStyle="1" w:styleId="ruotCharChar">
    <w:name w:val="ruot Char Char"/>
    <w:basedOn w:val="Normal"/>
    <w:link w:val="ruotCharCharChar"/>
    <w:rsid w:val="00FF07BD"/>
    <w:pPr>
      <w:spacing w:before="120" w:after="120" w:line="288" w:lineRule="auto"/>
      <w:ind w:firstLine="720"/>
      <w:jc w:val="both"/>
    </w:pPr>
    <w:rPr>
      <w:rFonts w:asciiTheme="minorHAnsi" w:eastAsiaTheme="minorHAnsi" w:hAnsiTheme="minorHAnsi" w:cstheme="minorBidi"/>
      <w:sz w:val="28"/>
      <w:szCs w:val="28"/>
      <w:lang w:val="vi-VN"/>
    </w:rPr>
  </w:style>
  <w:style w:type="character" w:customStyle="1" w:styleId="muc11CharChar">
    <w:name w:val="muc 1.1 Char Char"/>
    <w:link w:val="muc11Char"/>
    <w:locked/>
    <w:rsid w:val="00FF07BD"/>
    <w:rPr>
      <w:bCs/>
      <w:i/>
      <w:sz w:val="28"/>
      <w:szCs w:val="28"/>
    </w:rPr>
  </w:style>
  <w:style w:type="paragraph" w:customStyle="1" w:styleId="muc11Char">
    <w:name w:val="muc 1.1 Char"/>
    <w:basedOn w:val="Heading4"/>
    <w:link w:val="muc11CharChar"/>
    <w:rsid w:val="00FF07BD"/>
    <w:pPr>
      <w:overflowPunct w:val="0"/>
      <w:autoSpaceDE w:val="0"/>
      <w:autoSpaceDN w:val="0"/>
      <w:adjustRightInd w:val="0"/>
      <w:ind w:firstLine="0"/>
    </w:pPr>
    <w:rPr>
      <w:rFonts w:asciiTheme="minorHAnsi" w:eastAsiaTheme="minorHAnsi" w:hAnsiTheme="minorHAnsi" w:cstheme="minorBidi"/>
      <w:bCs/>
      <w:iCs w:val="0"/>
      <w:szCs w:val="28"/>
      <w:lang w:val="vi-VN"/>
    </w:rPr>
  </w:style>
  <w:style w:type="character" w:customStyle="1" w:styleId="tenbieuCharCharChar">
    <w:name w:val="ten bieu Char Char Char"/>
    <w:link w:val="tenbieuCharChar"/>
    <w:locked/>
    <w:rsid w:val="00FF07BD"/>
    <w:rPr>
      <w:rFonts w:ascii=".VnTime" w:hAnsi=".VnTime"/>
      <w:b/>
      <w:bCs/>
      <w:sz w:val="28"/>
      <w:szCs w:val="28"/>
    </w:rPr>
  </w:style>
  <w:style w:type="paragraph" w:customStyle="1" w:styleId="tenbieuCharChar">
    <w:name w:val="ten bieu Char Char"/>
    <w:basedOn w:val="Normal"/>
    <w:link w:val="tenbieuCharCharChar"/>
    <w:rsid w:val="00FF07BD"/>
    <w:pPr>
      <w:spacing w:before="120" w:after="120" w:line="288" w:lineRule="auto"/>
      <w:ind w:firstLine="720"/>
      <w:jc w:val="both"/>
    </w:pPr>
    <w:rPr>
      <w:rFonts w:ascii=".VnTime" w:eastAsiaTheme="minorHAnsi" w:hAnsi=".VnTime" w:cstheme="minorBidi"/>
      <w:b/>
      <w:bCs/>
      <w:sz w:val="28"/>
      <w:szCs w:val="28"/>
      <w:lang w:val="vi-VN"/>
    </w:rPr>
  </w:style>
  <w:style w:type="paragraph" w:customStyle="1" w:styleId="bieu">
    <w:name w:val="bieu"/>
    <w:basedOn w:val="Normal"/>
    <w:rsid w:val="00FF07BD"/>
    <w:pPr>
      <w:spacing w:line="360" w:lineRule="auto"/>
      <w:jc w:val="center"/>
    </w:pPr>
    <w:rPr>
      <w:rFonts w:eastAsia="Batang"/>
      <w:color w:val="000000"/>
      <w:sz w:val="26"/>
      <w:szCs w:val="26"/>
      <w:lang w:eastAsia="ko-KR"/>
    </w:rPr>
  </w:style>
  <w:style w:type="paragraph" w:customStyle="1" w:styleId="muc111">
    <w:name w:val="muc 1.1.1"/>
    <w:basedOn w:val="Heading4"/>
    <w:rsid w:val="00FF07BD"/>
    <w:pPr>
      <w:spacing w:before="240" w:line="240" w:lineRule="auto"/>
      <w:ind w:firstLine="0"/>
    </w:pPr>
    <w:rPr>
      <w:iCs w:val="0"/>
      <w:szCs w:val="28"/>
    </w:rPr>
  </w:style>
  <w:style w:type="paragraph" w:customStyle="1" w:styleId="Section3-Heading2">
    <w:name w:val="Section 3 - Heading 2"/>
    <w:basedOn w:val="Heading4"/>
    <w:rsid w:val="00FF07BD"/>
    <w:pPr>
      <w:keepNext w:val="0"/>
      <w:keepLines/>
      <w:spacing w:after="240" w:line="240" w:lineRule="auto"/>
      <w:ind w:firstLine="0"/>
      <w:jc w:val="center"/>
    </w:pPr>
    <w:rPr>
      <w:rFonts w:ascii="Calibri" w:hAnsi="Calibri" w:cs="Calibri"/>
      <w:b/>
      <w:bCs/>
      <w:szCs w:val="28"/>
    </w:rPr>
  </w:style>
  <w:style w:type="character" w:customStyle="1" w:styleId="newssummary1">
    <w:name w:val="news_summary1"/>
    <w:rsid w:val="00FF07BD"/>
    <w:rPr>
      <w:rFonts w:ascii="Arial" w:hAnsi="Arial" w:cs="Arial" w:hint="default"/>
      <w:b/>
      <w:bCs/>
      <w:i w:val="0"/>
      <w:iCs w:val="0"/>
      <w:color w:val="7D7D7D"/>
      <w:sz w:val="18"/>
      <w:szCs w:val="18"/>
    </w:rPr>
  </w:style>
  <w:style w:type="paragraph" w:customStyle="1" w:styleId="NormalWeb1">
    <w:name w:val="Normal (Web)1"/>
    <w:basedOn w:val="Normal"/>
    <w:rsid w:val="00FF07BD"/>
    <w:pPr>
      <w:spacing w:before="100" w:beforeAutospacing="1" w:after="100" w:afterAutospacing="1"/>
    </w:pPr>
  </w:style>
  <w:style w:type="paragraph" w:customStyle="1" w:styleId="Nidung">
    <w:name w:val="Nội dung"/>
    <w:basedOn w:val="Normal"/>
    <w:link w:val="NidungChar"/>
    <w:autoRedefine/>
    <w:rsid w:val="00FF07BD"/>
    <w:pPr>
      <w:widowControl w:val="0"/>
      <w:tabs>
        <w:tab w:val="left" w:pos="1440"/>
        <w:tab w:val="left" w:pos="7350"/>
        <w:tab w:val="right" w:pos="9071"/>
      </w:tabs>
      <w:spacing w:before="120" w:after="120"/>
      <w:ind w:firstLine="720"/>
      <w:jc w:val="both"/>
    </w:pPr>
    <w:rPr>
      <w:rFonts w:eastAsia="Cambria"/>
      <w:bCs/>
      <w:iCs/>
      <w:noProof/>
      <w:spacing w:val="-2"/>
      <w:sz w:val="28"/>
      <w:szCs w:val="28"/>
      <w:lang w:eastAsia="vi-VN"/>
    </w:rPr>
  </w:style>
  <w:style w:type="character" w:customStyle="1" w:styleId="NidungChar">
    <w:name w:val="Nội dung Char"/>
    <w:link w:val="Nidung"/>
    <w:rsid w:val="00FF07BD"/>
    <w:rPr>
      <w:rFonts w:ascii="Times New Roman" w:eastAsia="Cambria" w:hAnsi="Times New Roman" w:cs="Times New Roman"/>
      <w:bCs/>
      <w:iCs/>
      <w:noProof/>
      <w:spacing w:val="-2"/>
      <w:sz w:val="28"/>
      <w:szCs w:val="28"/>
      <w:lang w:val="en-US" w:eastAsia="vi-VN"/>
    </w:rPr>
  </w:style>
  <w:style w:type="paragraph" w:customStyle="1" w:styleId="bodytext0">
    <w:name w:val="body_text"/>
    <w:basedOn w:val="Normal"/>
    <w:rsid w:val="00FF07BD"/>
    <w:pPr>
      <w:spacing w:before="100" w:beforeAutospacing="1" w:after="100" w:afterAutospacing="1"/>
    </w:pPr>
    <w:rPr>
      <w:rFonts w:ascii=".VnTime" w:hAnsi=".VnTime" w:cs=".VnTime"/>
    </w:rPr>
  </w:style>
  <w:style w:type="paragraph" w:customStyle="1" w:styleId="Pa34">
    <w:name w:val="Pa34"/>
    <w:basedOn w:val="Default"/>
    <w:next w:val="Default"/>
    <w:rsid w:val="00FF07BD"/>
    <w:pPr>
      <w:spacing w:line="221" w:lineRule="atLeast"/>
    </w:pPr>
    <w:rPr>
      <w:color w:val="auto"/>
    </w:rPr>
  </w:style>
  <w:style w:type="character" w:customStyle="1" w:styleId="dnnalignleft">
    <w:name w:val="dnnalignleft"/>
    <w:basedOn w:val="DefaultParagraphFont"/>
    <w:rsid w:val="00FF07BD"/>
  </w:style>
  <w:style w:type="character" w:customStyle="1" w:styleId="FontStyle18">
    <w:name w:val="Font Style18"/>
    <w:uiPriority w:val="99"/>
    <w:rsid w:val="00FF07BD"/>
    <w:rPr>
      <w:rFonts w:ascii="Times New Roman" w:hAnsi="Times New Roman" w:cs="Times New Roman"/>
      <w:color w:val="000000"/>
      <w:sz w:val="24"/>
      <w:szCs w:val="24"/>
    </w:rPr>
  </w:style>
  <w:style w:type="paragraph" w:customStyle="1" w:styleId="Style9">
    <w:name w:val="Style9"/>
    <w:basedOn w:val="Normal"/>
    <w:uiPriority w:val="99"/>
    <w:rsid w:val="00FF07BD"/>
    <w:pPr>
      <w:widowControl w:val="0"/>
      <w:autoSpaceDE w:val="0"/>
      <w:autoSpaceDN w:val="0"/>
      <w:adjustRightInd w:val="0"/>
      <w:spacing w:line="301" w:lineRule="exact"/>
      <w:ind w:firstLine="523"/>
      <w:jc w:val="both"/>
    </w:pPr>
  </w:style>
  <w:style w:type="paragraph" w:customStyle="1" w:styleId="Timer">
    <w:name w:val="Time r"/>
    <w:basedOn w:val="Normal"/>
    <w:rsid w:val="00FF07BD"/>
    <w:pPr>
      <w:tabs>
        <w:tab w:val="center" w:pos="1710"/>
        <w:tab w:val="center" w:pos="6300"/>
      </w:tabs>
      <w:spacing w:after="200" w:line="276" w:lineRule="auto"/>
    </w:pPr>
    <w:rPr>
      <w:rFonts w:ascii="Calibri" w:eastAsia="Calibri" w:hAnsi="Calibri"/>
      <w:sz w:val="22"/>
      <w:szCs w:val="22"/>
    </w:rPr>
  </w:style>
  <w:style w:type="paragraph" w:customStyle="1" w:styleId="I">
    <w:name w:val="I"/>
    <w:basedOn w:val="Normal"/>
    <w:rsid w:val="003B4607"/>
    <w:pPr>
      <w:tabs>
        <w:tab w:val="left" w:pos="567"/>
      </w:tabs>
      <w:spacing w:after="120" w:line="440" w:lineRule="exact"/>
    </w:pPr>
    <w:rPr>
      <w:rFonts w:ascii=".VnArialH" w:hAnsi=".VnArialH"/>
      <w:b/>
      <w:sz w:val="26"/>
      <w:szCs w:val="20"/>
      <w:lang w:val="nl-NL"/>
    </w:rPr>
  </w:style>
  <w:style w:type="character" w:customStyle="1" w:styleId="newsdetailtitle">
    <w:name w:val="news_detail_title"/>
    <w:basedOn w:val="DefaultParagraphFont"/>
    <w:rsid w:val="00DA43A3"/>
  </w:style>
</w:styles>
</file>

<file path=word/webSettings.xml><?xml version="1.0" encoding="utf-8"?>
<w:webSettings xmlns:r="http://schemas.openxmlformats.org/officeDocument/2006/relationships" xmlns:w="http://schemas.openxmlformats.org/wordprocessingml/2006/main">
  <w:divs>
    <w:div w:id="495263276">
      <w:bodyDiv w:val="1"/>
      <w:marLeft w:val="0"/>
      <w:marRight w:val="0"/>
      <w:marTop w:val="0"/>
      <w:marBottom w:val="0"/>
      <w:divBdr>
        <w:top w:val="none" w:sz="0" w:space="0" w:color="auto"/>
        <w:left w:val="none" w:sz="0" w:space="0" w:color="auto"/>
        <w:bottom w:val="none" w:sz="0" w:space="0" w:color="auto"/>
        <w:right w:val="none" w:sz="0" w:space="0" w:color="auto"/>
      </w:divBdr>
    </w:div>
    <w:div w:id="635649033">
      <w:bodyDiv w:val="1"/>
      <w:marLeft w:val="0"/>
      <w:marRight w:val="0"/>
      <w:marTop w:val="0"/>
      <w:marBottom w:val="0"/>
      <w:divBdr>
        <w:top w:val="none" w:sz="0" w:space="0" w:color="auto"/>
        <w:left w:val="none" w:sz="0" w:space="0" w:color="auto"/>
        <w:bottom w:val="none" w:sz="0" w:space="0" w:color="auto"/>
        <w:right w:val="none" w:sz="0" w:space="0" w:color="auto"/>
      </w:divBdr>
    </w:div>
    <w:div w:id="867375909">
      <w:bodyDiv w:val="1"/>
      <w:marLeft w:val="0"/>
      <w:marRight w:val="0"/>
      <w:marTop w:val="0"/>
      <w:marBottom w:val="0"/>
      <w:divBdr>
        <w:top w:val="none" w:sz="0" w:space="0" w:color="auto"/>
        <w:left w:val="none" w:sz="0" w:space="0" w:color="auto"/>
        <w:bottom w:val="none" w:sz="0" w:space="0" w:color="auto"/>
        <w:right w:val="none" w:sz="0" w:space="0" w:color="auto"/>
      </w:divBdr>
    </w:div>
    <w:div w:id="1190290941">
      <w:bodyDiv w:val="1"/>
      <w:marLeft w:val="30"/>
      <w:marRight w:val="30"/>
      <w:marTop w:val="0"/>
      <w:marBottom w:val="0"/>
      <w:divBdr>
        <w:top w:val="none" w:sz="0" w:space="0" w:color="auto"/>
        <w:left w:val="none" w:sz="0" w:space="0" w:color="auto"/>
        <w:bottom w:val="none" w:sz="0" w:space="0" w:color="auto"/>
        <w:right w:val="none" w:sz="0" w:space="0" w:color="auto"/>
      </w:divBdr>
      <w:divsChild>
        <w:div w:id="566108878">
          <w:marLeft w:val="0"/>
          <w:marRight w:val="0"/>
          <w:marTop w:val="0"/>
          <w:marBottom w:val="0"/>
          <w:divBdr>
            <w:top w:val="none" w:sz="0" w:space="0" w:color="auto"/>
            <w:left w:val="none" w:sz="0" w:space="0" w:color="auto"/>
            <w:bottom w:val="none" w:sz="0" w:space="0" w:color="auto"/>
            <w:right w:val="none" w:sz="0" w:space="0" w:color="auto"/>
          </w:divBdr>
          <w:divsChild>
            <w:div w:id="1142119344">
              <w:marLeft w:val="0"/>
              <w:marRight w:val="0"/>
              <w:marTop w:val="0"/>
              <w:marBottom w:val="0"/>
              <w:divBdr>
                <w:top w:val="none" w:sz="0" w:space="0" w:color="auto"/>
                <w:left w:val="none" w:sz="0" w:space="0" w:color="auto"/>
                <w:bottom w:val="none" w:sz="0" w:space="0" w:color="auto"/>
                <w:right w:val="none" w:sz="0" w:space="0" w:color="auto"/>
              </w:divBdr>
              <w:divsChild>
                <w:div w:id="16542569">
                  <w:marLeft w:val="180"/>
                  <w:marRight w:val="0"/>
                  <w:marTop w:val="0"/>
                  <w:marBottom w:val="0"/>
                  <w:divBdr>
                    <w:top w:val="none" w:sz="0" w:space="0" w:color="auto"/>
                    <w:left w:val="none" w:sz="0" w:space="0" w:color="auto"/>
                    <w:bottom w:val="none" w:sz="0" w:space="0" w:color="auto"/>
                    <w:right w:val="none" w:sz="0" w:space="0" w:color="auto"/>
                  </w:divBdr>
                  <w:divsChild>
                    <w:div w:id="901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297273">
      <w:bodyDiv w:val="1"/>
      <w:marLeft w:val="0"/>
      <w:marRight w:val="0"/>
      <w:marTop w:val="0"/>
      <w:marBottom w:val="0"/>
      <w:divBdr>
        <w:top w:val="none" w:sz="0" w:space="0" w:color="auto"/>
        <w:left w:val="none" w:sz="0" w:space="0" w:color="auto"/>
        <w:bottom w:val="none" w:sz="0" w:space="0" w:color="auto"/>
        <w:right w:val="none" w:sz="0" w:space="0" w:color="auto"/>
      </w:divBdr>
    </w:div>
    <w:div w:id="1842309479">
      <w:bodyDiv w:val="1"/>
      <w:marLeft w:val="30"/>
      <w:marRight w:val="30"/>
      <w:marTop w:val="0"/>
      <w:marBottom w:val="0"/>
      <w:divBdr>
        <w:top w:val="none" w:sz="0" w:space="0" w:color="auto"/>
        <w:left w:val="none" w:sz="0" w:space="0" w:color="auto"/>
        <w:bottom w:val="none" w:sz="0" w:space="0" w:color="auto"/>
        <w:right w:val="none" w:sz="0" w:space="0" w:color="auto"/>
      </w:divBdr>
      <w:divsChild>
        <w:div w:id="1039671324">
          <w:marLeft w:val="0"/>
          <w:marRight w:val="0"/>
          <w:marTop w:val="0"/>
          <w:marBottom w:val="0"/>
          <w:divBdr>
            <w:top w:val="none" w:sz="0" w:space="0" w:color="auto"/>
            <w:left w:val="none" w:sz="0" w:space="0" w:color="auto"/>
            <w:bottom w:val="none" w:sz="0" w:space="0" w:color="auto"/>
            <w:right w:val="none" w:sz="0" w:space="0" w:color="auto"/>
          </w:divBdr>
          <w:divsChild>
            <w:div w:id="588732667">
              <w:marLeft w:val="0"/>
              <w:marRight w:val="0"/>
              <w:marTop w:val="0"/>
              <w:marBottom w:val="0"/>
              <w:divBdr>
                <w:top w:val="none" w:sz="0" w:space="0" w:color="auto"/>
                <w:left w:val="none" w:sz="0" w:space="0" w:color="auto"/>
                <w:bottom w:val="none" w:sz="0" w:space="0" w:color="auto"/>
                <w:right w:val="none" w:sz="0" w:space="0" w:color="auto"/>
              </w:divBdr>
              <w:divsChild>
                <w:div w:id="398598531">
                  <w:marLeft w:val="180"/>
                  <w:marRight w:val="0"/>
                  <w:marTop w:val="0"/>
                  <w:marBottom w:val="0"/>
                  <w:divBdr>
                    <w:top w:val="none" w:sz="0" w:space="0" w:color="auto"/>
                    <w:left w:val="none" w:sz="0" w:space="0" w:color="auto"/>
                    <w:bottom w:val="none" w:sz="0" w:space="0" w:color="auto"/>
                    <w:right w:val="none" w:sz="0" w:space="0" w:color="auto"/>
                  </w:divBdr>
                  <w:divsChild>
                    <w:div w:id="121497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vn/url?sa=t&amp;rct=j&amp;q=&amp;esrc=s&amp;source=web&amp;cd=3&amp;cad=rja&amp;uact=8&amp;ved=0ahUKEwj_1JON-O7VAhUHpY8KHfKmDGoQFggzMAI&amp;url=http%3A%2F%2Fwww.thiennhien.net%2F2013%2F04%2F09%2Fton-that-do-o-nhiem-moi-truong-len-toi-5-5-gdp%2F&amp;usg=AFQjCNGyBk_XKndUvMcG-ASpN3DyBJyyY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inhgiadoclap.com/"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B63B87-D86F-4991-9E61-9CEAD80F27DA}">
  <ds:schemaRefs>
    <ds:schemaRef ds:uri="http://schemas.openxmlformats.org/officeDocument/2006/bibliography"/>
  </ds:schemaRefs>
</ds:datastoreItem>
</file>

<file path=customXml/itemProps2.xml><?xml version="1.0" encoding="utf-8"?>
<ds:datastoreItem xmlns:ds="http://schemas.openxmlformats.org/officeDocument/2006/customXml" ds:itemID="{82F68C4D-010D-4EDE-B259-CFB59DC7B002}"/>
</file>

<file path=customXml/itemProps3.xml><?xml version="1.0" encoding="utf-8"?>
<ds:datastoreItem xmlns:ds="http://schemas.openxmlformats.org/officeDocument/2006/customXml" ds:itemID="{1F0D8E51-590D-4A9F-8841-B9DC9E84A215}"/>
</file>

<file path=customXml/itemProps4.xml><?xml version="1.0" encoding="utf-8"?>
<ds:datastoreItem xmlns:ds="http://schemas.openxmlformats.org/officeDocument/2006/customXml" ds:itemID="{8AB88AED-92F6-4DC5-8E95-4B40E68BFB4F}"/>
</file>

<file path=docProps/app.xml><?xml version="1.0" encoding="utf-8"?>
<Properties xmlns="http://schemas.openxmlformats.org/officeDocument/2006/extended-properties" xmlns:vt="http://schemas.openxmlformats.org/officeDocument/2006/docPropsVTypes">
  <Template>Normal.dotm</Template>
  <TotalTime>2314</TotalTime>
  <Pages>13</Pages>
  <Words>4363</Words>
  <Characters>24873</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dothithanhhuong</dc:creator>
  <cp:lastModifiedBy>tranthiphuongnhung</cp:lastModifiedBy>
  <cp:revision>763</cp:revision>
  <cp:lastPrinted>2018-04-27T10:46:00Z</cp:lastPrinted>
  <dcterms:created xsi:type="dcterms:W3CDTF">2017-02-09T04:07:00Z</dcterms:created>
  <dcterms:modified xsi:type="dcterms:W3CDTF">2018-05-11T04:20:00Z</dcterms:modified>
</cp:coreProperties>
</file>